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28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0"/>
        <w:gridCol w:w="1440"/>
        <w:gridCol w:w="771"/>
        <w:gridCol w:w="2505"/>
        <w:gridCol w:w="2175"/>
        <w:gridCol w:w="19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0" w:hRule="atLeast"/>
        </w:trPr>
        <w:tc>
          <w:tcPr>
            <w:tcW w:w="540" w:type="dxa"/>
            <w:vMerge w:val="restart"/>
            <w:vAlign w:val="center"/>
          </w:tcPr>
          <w:p>
            <w:pPr>
              <w:jc w:val="center"/>
              <w:rPr>
                <w:rFonts w:ascii="宋体"/>
              </w:rPr>
            </w:pPr>
            <w:bookmarkStart w:id="0" w:name="_GoBack"/>
            <w:bookmarkEnd w:id="0"/>
            <w:r>
              <w:rPr>
                <w:rFonts w:hint="eastAsia" w:ascii="宋体"/>
              </w:rPr>
              <w:t>项目类别</w:t>
            </w:r>
          </w:p>
        </w:tc>
        <w:tc>
          <w:tcPr>
            <w:tcW w:w="1440" w:type="dxa"/>
            <w:vAlign w:val="center"/>
          </w:tcPr>
          <w:p>
            <w:pPr>
              <w:jc w:val="distribute"/>
              <w:rPr>
                <w:rFonts w:ascii="宋体"/>
              </w:rPr>
            </w:pPr>
            <w:r>
              <w:rPr>
                <w:rFonts w:hint="eastAsia" w:ascii="宋体"/>
              </w:rPr>
              <w:t>重点</w:t>
            </w:r>
          </w:p>
        </w:tc>
        <w:tc>
          <w:tcPr>
            <w:tcW w:w="771" w:type="dxa"/>
            <w:tcBorders>
              <w:right w:val="single" w:color="auto" w:sz="4" w:space="0"/>
            </w:tcBorders>
            <w:vAlign w:val="center"/>
          </w:tcPr>
          <w:p>
            <w:pPr>
              <w:jc w:val="center"/>
              <w:rPr>
                <w:rFonts w:ascii="宋体"/>
              </w:rPr>
            </w:pPr>
          </w:p>
        </w:tc>
        <w:tc>
          <w:tcPr>
            <w:tcW w:w="2505" w:type="dxa"/>
            <w:tcBorders>
              <w:top w:val="nil"/>
              <w:left w:val="single" w:color="auto" w:sz="4" w:space="0"/>
              <w:bottom w:val="nil"/>
              <w:right w:val="nil"/>
            </w:tcBorders>
            <w:vAlign w:val="center"/>
          </w:tcPr>
          <w:p>
            <w:pPr>
              <w:jc w:val="center"/>
              <w:rPr>
                <w:rFonts w:ascii="宋体"/>
              </w:rPr>
            </w:pPr>
          </w:p>
        </w:tc>
        <w:tc>
          <w:tcPr>
            <w:tcW w:w="2175" w:type="dxa"/>
            <w:tcBorders>
              <w:top w:val="nil"/>
              <w:left w:val="nil"/>
              <w:bottom w:val="nil"/>
              <w:right w:val="nil"/>
            </w:tcBorders>
            <w:vAlign w:val="center"/>
          </w:tcPr>
          <w:p>
            <w:pPr>
              <w:jc w:val="center"/>
              <w:rPr>
                <w:rFonts w:ascii="宋体"/>
              </w:rPr>
            </w:pPr>
          </w:p>
        </w:tc>
        <w:tc>
          <w:tcPr>
            <w:tcW w:w="1929" w:type="dxa"/>
            <w:tcBorders>
              <w:top w:val="nil"/>
              <w:left w:val="nil"/>
              <w:bottom w:val="nil"/>
              <w:right w:val="nil"/>
            </w:tcBorders>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0" w:hRule="atLeast"/>
        </w:trPr>
        <w:tc>
          <w:tcPr>
            <w:tcW w:w="540" w:type="dxa"/>
            <w:vMerge w:val="continue"/>
          </w:tcPr>
          <w:p>
            <w:pPr>
              <w:jc w:val="center"/>
              <w:rPr>
                <w:rFonts w:ascii="宋体"/>
              </w:rPr>
            </w:pPr>
          </w:p>
        </w:tc>
        <w:tc>
          <w:tcPr>
            <w:tcW w:w="1440" w:type="dxa"/>
            <w:vAlign w:val="center"/>
          </w:tcPr>
          <w:p>
            <w:pPr>
              <w:jc w:val="distribute"/>
              <w:rPr>
                <w:rFonts w:ascii="宋体"/>
              </w:rPr>
            </w:pPr>
            <w:r>
              <w:rPr>
                <w:rFonts w:hint="eastAsia" w:ascii="宋体"/>
              </w:rPr>
              <w:t>优秀青年</w:t>
            </w:r>
          </w:p>
        </w:tc>
        <w:tc>
          <w:tcPr>
            <w:tcW w:w="771" w:type="dxa"/>
            <w:tcBorders>
              <w:right w:val="single" w:color="auto" w:sz="4" w:space="0"/>
            </w:tcBorders>
            <w:vAlign w:val="center"/>
          </w:tcPr>
          <w:p>
            <w:pPr>
              <w:jc w:val="center"/>
              <w:rPr>
                <w:rFonts w:ascii="宋体"/>
              </w:rPr>
            </w:pPr>
          </w:p>
        </w:tc>
        <w:tc>
          <w:tcPr>
            <w:tcW w:w="2505" w:type="dxa"/>
            <w:tcBorders>
              <w:top w:val="nil"/>
              <w:left w:val="single" w:color="auto" w:sz="4" w:space="0"/>
              <w:bottom w:val="nil"/>
              <w:right w:val="nil"/>
            </w:tcBorders>
            <w:vAlign w:val="center"/>
          </w:tcPr>
          <w:p>
            <w:pPr>
              <w:jc w:val="center"/>
              <w:rPr>
                <w:rFonts w:ascii="宋体"/>
              </w:rPr>
            </w:pPr>
          </w:p>
        </w:tc>
        <w:tc>
          <w:tcPr>
            <w:tcW w:w="2175" w:type="dxa"/>
            <w:tcBorders>
              <w:top w:val="nil"/>
              <w:left w:val="nil"/>
              <w:bottom w:val="nil"/>
              <w:right w:val="nil"/>
            </w:tcBorders>
            <w:vAlign w:val="center"/>
          </w:tcPr>
          <w:p>
            <w:pPr>
              <w:jc w:val="center"/>
              <w:rPr>
                <w:rFonts w:ascii="宋体"/>
              </w:rPr>
            </w:pPr>
            <w:r>
              <w:rPr>
                <w:rFonts w:ascii="宋体"/>
              </w:rPr>
              <w:t xml:space="preserve">        </w:t>
            </w:r>
            <w:r>
              <w:rPr>
                <w:rFonts w:hint="eastAsia" w:ascii="宋体"/>
              </w:rPr>
              <w:t>所属学科：</w:t>
            </w:r>
            <w:r>
              <w:rPr>
                <w:rFonts w:ascii="宋体"/>
              </w:rPr>
              <w:t xml:space="preserve">   </w:t>
            </w:r>
          </w:p>
        </w:tc>
        <w:tc>
          <w:tcPr>
            <w:tcW w:w="1929" w:type="dxa"/>
            <w:tcBorders>
              <w:top w:val="nil"/>
              <w:left w:val="nil"/>
              <w:bottom w:val="nil"/>
              <w:right w:val="nil"/>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0" w:hRule="atLeast"/>
        </w:trPr>
        <w:tc>
          <w:tcPr>
            <w:tcW w:w="540" w:type="dxa"/>
            <w:vMerge w:val="continue"/>
          </w:tcPr>
          <w:p>
            <w:pPr>
              <w:jc w:val="center"/>
              <w:rPr>
                <w:rFonts w:ascii="宋体"/>
              </w:rPr>
            </w:pPr>
          </w:p>
        </w:tc>
        <w:tc>
          <w:tcPr>
            <w:tcW w:w="1440" w:type="dxa"/>
            <w:vAlign w:val="center"/>
          </w:tcPr>
          <w:p>
            <w:pPr>
              <w:jc w:val="distribute"/>
              <w:rPr>
                <w:rFonts w:ascii="宋体"/>
              </w:rPr>
            </w:pPr>
            <w:r>
              <w:rPr>
                <w:rFonts w:hint="eastAsia" w:ascii="宋体"/>
              </w:rPr>
              <w:t>一般</w:t>
            </w:r>
          </w:p>
        </w:tc>
        <w:tc>
          <w:tcPr>
            <w:tcW w:w="771" w:type="dxa"/>
            <w:tcBorders>
              <w:right w:val="single" w:color="auto" w:sz="4" w:space="0"/>
            </w:tcBorders>
            <w:vAlign w:val="center"/>
          </w:tcPr>
          <w:p>
            <w:pPr>
              <w:jc w:val="center"/>
              <w:rPr>
                <w:rFonts w:ascii="宋体"/>
              </w:rPr>
            </w:pPr>
            <w:r>
              <w:rPr>
                <w:rFonts w:hint="eastAsia" w:ascii="宋体" w:hAnsi="宋体"/>
              </w:rPr>
              <w:t>√</w:t>
            </w:r>
          </w:p>
        </w:tc>
        <w:tc>
          <w:tcPr>
            <w:tcW w:w="2505" w:type="dxa"/>
            <w:tcBorders>
              <w:top w:val="nil"/>
              <w:left w:val="single" w:color="auto" w:sz="4" w:space="0"/>
              <w:bottom w:val="nil"/>
              <w:right w:val="nil"/>
            </w:tcBorders>
            <w:vAlign w:val="center"/>
          </w:tcPr>
          <w:p>
            <w:pPr>
              <w:jc w:val="center"/>
              <w:rPr>
                <w:rFonts w:ascii="宋体"/>
              </w:rPr>
            </w:pPr>
          </w:p>
        </w:tc>
        <w:tc>
          <w:tcPr>
            <w:tcW w:w="2175" w:type="dxa"/>
            <w:tcBorders>
              <w:top w:val="nil"/>
              <w:left w:val="nil"/>
              <w:bottom w:val="nil"/>
              <w:right w:val="nil"/>
            </w:tcBorders>
          </w:tcPr>
          <w:p>
            <w:pPr>
              <w:jc w:val="center"/>
              <w:rPr>
                <w:rFonts w:ascii="宋体"/>
              </w:rPr>
            </w:pPr>
          </w:p>
        </w:tc>
        <w:tc>
          <w:tcPr>
            <w:tcW w:w="1929" w:type="dxa"/>
            <w:tcBorders>
              <w:top w:val="nil"/>
              <w:left w:val="nil"/>
              <w:bottom w:val="nil"/>
              <w:right w:val="nil"/>
            </w:tcBorders>
          </w:tcPr>
          <w:p>
            <w:pPr>
              <w:jc w:val="center"/>
              <w:rPr>
                <w:rFonts w:ascii="宋体"/>
              </w:rPr>
            </w:pPr>
          </w:p>
        </w:tc>
      </w:tr>
    </w:tbl>
    <w:p>
      <w:pPr>
        <w:rPr>
          <w:rFonts w:ascii="宋体"/>
        </w:rPr>
      </w:pPr>
    </w:p>
    <w:p>
      <w:pPr>
        <w:spacing w:before="312" w:after="312"/>
        <w:jc w:val="center"/>
        <w:rPr>
          <w:rFonts w:eastAsia="黑体"/>
          <w:b/>
          <w:bCs/>
          <w:sz w:val="44"/>
          <w:szCs w:val="44"/>
        </w:rPr>
      </w:pPr>
      <w:r>
        <w:rPr>
          <w:rFonts w:hint="eastAsia" w:eastAsia="黑体" w:cs="黑体"/>
          <w:b/>
          <w:bCs/>
          <w:sz w:val="44"/>
          <w:szCs w:val="44"/>
        </w:rPr>
        <w:t>湖南省教育厅科学研究项目</w:t>
      </w:r>
    </w:p>
    <w:p>
      <w:pPr>
        <w:spacing w:after="936"/>
        <w:jc w:val="center"/>
        <w:rPr>
          <w:rFonts w:eastAsia="黑体"/>
          <w:b/>
          <w:bCs/>
          <w:sz w:val="54"/>
          <w:szCs w:val="54"/>
        </w:rPr>
      </w:pPr>
      <w:r>
        <w:rPr>
          <w:rFonts w:hint="eastAsia" w:eastAsia="黑体" w:cs="黑体"/>
          <w:b/>
          <w:bCs/>
          <w:sz w:val="54"/>
          <w:szCs w:val="54"/>
        </w:rPr>
        <w:t>申</w:t>
      </w:r>
      <w:r>
        <w:rPr>
          <w:rFonts w:eastAsia="黑体"/>
          <w:b/>
          <w:bCs/>
          <w:sz w:val="54"/>
          <w:szCs w:val="54"/>
        </w:rPr>
        <w:t xml:space="preserve">       </w:t>
      </w:r>
      <w:r>
        <w:rPr>
          <w:rFonts w:hint="eastAsia" w:eastAsia="黑体" w:cs="黑体"/>
          <w:b/>
          <w:bCs/>
          <w:sz w:val="54"/>
          <w:szCs w:val="54"/>
        </w:rPr>
        <w:t>请</w:t>
      </w:r>
      <w:r>
        <w:rPr>
          <w:rFonts w:eastAsia="黑体"/>
          <w:b/>
          <w:bCs/>
          <w:sz w:val="54"/>
          <w:szCs w:val="54"/>
        </w:rPr>
        <w:t xml:space="preserve">      </w:t>
      </w:r>
      <w:r>
        <w:rPr>
          <w:rFonts w:hint="eastAsia" w:eastAsia="黑体" w:cs="黑体"/>
          <w:b/>
          <w:bCs/>
          <w:sz w:val="54"/>
          <w:szCs w:val="54"/>
        </w:rPr>
        <w:t>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sz w:val="28"/>
                <w:szCs w:val="28"/>
              </w:rPr>
              <w:t>项</w:t>
            </w:r>
            <w:r>
              <w:rPr>
                <w:sz w:val="28"/>
                <w:szCs w:val="28"/>
              </w:rPr>
              <w:t xml:space="preserve">  </w:t>
            </w:r>
            <w:r>
              <w:rPr>
                <w:rFonts w:hint="eastAsia"/>
                <w:sz w:val="28"/>
                <w:szCs w:val="28"/>
              </w:rPr>
              <w:t>目　名　</w:t>
            </w:r>
            <w:r>
              <w:rPr>
                <w:sz w:val="28"/>
                <w:szCs w:val="28"/>
              </w:rPr>
              <w:t xml:space="preserve"> </w:t>
            </w:r>
            <w:r>
              <w:rPr>
                <w:rFonts w:hint="eastAsia"/>
                <w:sz w:val="28"/>
                <w:szCs w:val="28"/>
              </w:rPr>
              <w:t>称：</w:t>
            </w: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Times New Roman"/>
                <w:sz w:val="28"/>
                <w:szCs w:val="28"/>
              </w:rPr>
              <w:t>融入思政教育的高校学生资助管理体系研究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sz w:val="28"/>
                <w:szCs w:val="28"/>
              </w:rPr>
              <w:t>申</w:t>
            </w:r>
            <w:r>
              <w:rPr>
                <w:sz w:val="28"/>
                <w:szCs w:val="28"/>
              </w:rPr>
              <w:t xml:space="preserve">    </w:t>
            </w:r>
            <w:r>
              <w:rPr>
                <w:rFonts w:hint="eastAsia"/>
                <w:sz w:val="28"/>
                <w:szCs w:val="28"/>
              </w:rPr>
              <w:t>请</w:t>
            </w:r>
            <w:r>
              <w:rPr>
                <w:sz w:val="28"/>
                <w:szCs w:val="28"/>
              </w:rPr>
              <w:t xml:space="preserve">     </w:t>
            </w:r>
            <w:r>
              <w:rPr>
                <w:rFonts w:hint="eastAsia"/>
                <w:sz w:val="28"/>
                <w:szCs w:val="28"/>
              </w:rPr>
              <w:t>者：</w:t>
            </w: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sz w:val="28"/>
                <w:szCs w:val="28"/>
              </w:rPr>
              <w:t>李真西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sz w:val="28"/>
                <w:szCs w:val="28"/>
              </w:rPr>
              <w:t>所</w:t>
            </w:r>
            <w:r>
              <w:rPr>
                <w:sz w:val="28"/>
                <w:szCs w:val="28"/>
              </w:rPr>
              <w:t xml:space="preserve">  </w:t>
            </w:r>
            <w:r>
              <w:rPr>
                <w:rFonts w:hint="eastAsia"/>
                <w:sz w:val="28"/>
                <w:szCs w:val="28"/>
              </w:rPr>
              <w:t>在</w:t>
            </w:r>
            <w:r>
              <w:rPr>
                <w:sz w:val="28"/>
                <w:szCs w:val="28"/>
              </w:rPr>
              <w:t xml:space="preserve">  </w:t>
            </w:r>
            <w:r>
              <w:rPr>
                <w:rFonts w:hint="eastAsia"/>
                <w:sz w:val="28"/>
                <w:szCs w:val="28"/>
              </w:rPr>
              <w:t>学</w:t>
            </w:r>
            <w:r>
              <w:rPr>
                <w:sz w:val="28"/>
                <w:szCs w:val="28"/>
              </w:rPr>
              <w:t xml:space="preserve">   </w:t>
            </w:r>
            <w:r>
              <w:rPr>
                <w:rFonts w:hint="eastAsia"/>
                <w:sz w:val="28"/>
                <w:szCs w:val="28"/>
              </w:rPr>
              <w:t>校：</w:t>
            </w: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sz w:val="28"/>
                <w:szCs w:val="28"/>
              </w:rPr>
              <w:t>湖南电子科技职业学院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sz w:val="28"/>
                <w:szCs w:val="28"/>
              </w:rPr>
              <w:t>电</w:t>
            </w:r>
            <w:r>
              <w:rPr>
                <w:sz w:val="28"/>
                <w:szCs w:val="28"/>
              </w:rPr>
              <w:t xml:space="preserve">           </w:t>
            </w:r>
            <w:r>
              <w:rPr>
                <w:rFonts w:hint="eastAsia"/>
                <w:sz w:val="28"/>
                <w:szCs w:val="28"/>
              </w:rPr>
              <w:t>话：</w:t>
            </w: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ascii="Times New Roman" w:hAnsi="Times New Roman"/>
                <w:sz w:val="28"/>
                <w:szCs w:val="28"/>
              </w:rPr>
              <w:t>18670699125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c>
          <w:tcPr>
            <w:tcW w:w="6405" w:type="dxa"/>
            <w:tcBorders>
              <w:top w:val="dotted" w:color="auto"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sz w:val="28"/>
                <w:szCs w:val="28"/>
              </w:rPr>
              <w:t>传</w:t>
            </w:r>
            <w:r>
              <w:rPr>
                <w:sz w:val="28"/>
                <w:szCs w:val="28"/>
              </w:rPr>
              <w:t xml:space="preserve">           </w:t>
            </w:r>
            <w:r>
              <w:rPr>
                <w:rFonts w:hint="eastAsia"/>
                <w:sz w:val="28"/>
                <w:szCs w:val="28"/>
              </w:rPr>
              <w:t>真：</w:t>
            </w:r>
          </w:p>
        </w:tc>
        <w:tc>
          <w:tcPr>
            <w:tcW w:w="6405" w:type="dxa"/>
            <w:tcBorders>
              <w:top w:val="dotted" w:color="auto" w:sz="4" w:space="0"/>
              <w:left w:val="single" w:color="FFFFFF" w:sz="4" w:space="0"/>
              <w:bottom w:val="single" w:color="FFFFFF" w:sz="4" w:space="0"/>
              <w:right w:val="single" w:color="FFFFFF" w:sz="4" w:space="0"/>
            </w:tcBorders>
            <w:vAlign w:val="center"/>
          </w:tcPr>
          <w:p>
            <w:pPr>
              <w:spacing w:line="440" w:lineRule="exact"/>
              <w:rPr>
                <w:sz w:val="28"/>
                <w:szCs w:val="28"/>
              </w:rPr>
            </w:pPr>
            <w:r>
              <w:rPr>
                <w:rFonts w:ascii="Times New Roman" w:hAnsi="Times New Roman"/>
                <w:sz w:val="28"/>
                <w:szCs w:val="28"/>
              </w:rPr>
              <w:t>0731-88728848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c>
          <w:tcPr>
            <w:tcW w:w="6405" w:type="dxa"/>
            <w:tcBorders>
              <w:top w:val="dotted" w:color="auto"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sz w:val="28"/>
                <w:szCs w:val="28"/>
              </w:rPr>
              <w:t>电子信箱</w:t>
            </w:r>
            <w:r>
              <w:rPr>
                <w:sz w:val="28"/>
                <w:szCs w:val="28"/>
              </w:rPr>
              <w:t xml:space="preserve"> (Email):</w:t>
            </w:r>
          </w:p>
        </w:tc>
        <w:tc>
          <w:tcPr>
            <w:tcW w:w="6405" w:type="dxa"/>
            <w:tcBorders>
              <w:top w:val="dotted" w:color="auto" w:sz="4" w:space="0"/>
              <w:left w:val="single" w:color="FFFFFF" w:sz="4" w:space="0"/>
              <w:bottom w:val="single" w:color="FFFFFF" w:sz="4" w:space="0"/>
              <w:right w:val="single" w:color="FFFFFF" w:sz="4" w:space="0"/>
            </w:tcBorders>
            <w:vAlign w:val="center"/>
          </w:tcPr>
          <w:p>
            <w:pPr>
              <w:spacing w:line="440" w:lineRule="exact"/>
              <w:rPr>
                <w:sz w:val="28"/>
                <w:szCs w:val="28"/>
              </w:rPr>
            </w:pPr>
            <w:r>
              <w:rPr>
                <w:sz w:val="28"/>
                <w:szCs w:val="28"/>
              </w:rPr>
              <w:t>guaguachixigua@vip.qq.com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nil"/>
              <w:left w:val="single" w:color="FFFFFF" w:sz="4" w:space="0"/>
              <w:bottom w:val="single" w:color="FFFFFF" w:sz="4" w:space="0"/>
              <w:right w:val="single" w:color="FFFFFF" w:sz="4" w:space="0"/>
            </w:tcBorders>
            <w:vAlign w:val="center"/>
          </w:tcPr>
          <w:p>
            <w:pPr>
              <w:spacing w:line="440" w:lineRule="exact"/>
              <w:rPr>
                <w:sz w:val="28"/>
                <w:szCs w:val="28"/>
              </w:rPr>
            </w:pPr>
          </w:p>
        </w:tc>
        <w:tc>
          <w:tcPr>
            <w:tcW w:w="6405" w:type="dxa"/>
            <w:tcBorders>
              <w:top w:val="dotted" w:color="auto"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nil"/>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sz w:val="28"/>
                <w:szCs w:val="28"/>
              </w:rPr>
              <w:t>申</w:t>
            </w:r>
            <w:r>
              <w:rPr>
                <w:sz w:val="28"/>
                <w:szCs w:val="28"/>
              </w:rPr>
              <w:t xml:space="preserve">  </w:t>
            </w:r>
            <w:r>
              <w:rPr>
                <w:rFonts w:hint="eastAsia"/>
                <w:sz w:val="28"/>
                <w:szCs w:val="28"/>
              </w:rPr>
              <w:t>请</w:t>
            </w:r>
            <w:r>
              <w:rPr>
                <w:sz w:val="28"/>
                <w:szCs w:val="28"/>
              </w:rPr>
              <w:t xml:space="preserve">  </w:t>
            </w:r>
            <w:r>
              <w:rPr>
                <w:rFonts w:hint="eastAsia"/>
                <w:sz w:val="28"/>
                <w:szCs w:val="28"/>
              </w:rPr>
              <w:t>日</w:t>
            </w:r>
            <w:r>
              <w:rPr>
                <w:sz w:val="28"/>
                <w:szCs w:val="28"/>
              </w:rPr>
              <w:t xml:space="preserve">   </w:t>
            </w:r>
            <w:r>
              <w:rPr>
                <w:rFonts w:hint="eastAsia"/>
                <w:sz w:val="28"/>
                <w:szCs w:val="28"/>
              </w:rPr>
              <w:t>期：</w:t>
            </w:r>
          </w:p>
        </w:tc>
        <w:tc>
          <w:tcPr>
            <w:tcW w:w="6405" w:type="dxa"/>
            <w:tcBorders>
              <w:top w:val="dotted" w:color="auto" w:sz="4" w:space="0"/>
              <w:left w:val="single" w:color="FFFFFF" w:sz="4" w:space="0"/>
              <w:bottom w:val="single" w:color="FFFFFF" w:sz="4" w:space="0"/>
              <w:right w:val="single" w:color="FFFFFF" w:sz="4" w:space="0"/>
            </w:tcBorders>
            <w:vAlign w:val="center"/>
          </w:tcPr>
          <w:p>
            <w:pPr>
              <w:spacing w:line="440" w:lineRule="exact"/>
              <w:rPr>
                <w:sz w:val="28"/>
                <w:szCs w:val="28"/>
              </w:rPr>
            </w:pPr>
            <w:r>
              <w:rPr>
                <w:sz w:val="28"/>
                <w:szCs w:val="28"/>
              </w:rPr>
              <w:t>2020-09-01</w:t>
            </w:r>
          </w:p>
        </w:tc>
      </w:tr>
    </w:tbl>
    <w:p>
      <w:pPr>
        <w:spacing w:before="1560"/>
        <w:jc w:val="center"/>
        <w:rPr>
          <w:sz w:val="28"/>
          <w:szCs w:val="28"/>
        </w:rPr>
      </w:pPr>
      <w:r>
        <w:rPr>
          <w:rFonts w:hint="eastAsia" w:ascii="宋体" w:hAnsi="宋体"/>
          <w:sz w:val="28"/>
          <w:szCs w:val="28"/>
        </w:rPr>
        <w:t>湖南省教育厅</w:t>
      </w:r>
    </w:p>
    <w:p>
      <w:pPr>
        <w:jc w:val="center"/>
        <w:rPr>
          <w:sz w:val="28"/>
          <w:szCs w:val="28"/>
        </w:rPr>
      </w:pPr>
      <w:r>
        <w:rPr>
          <w:rFonts w:ascii="宋体" w:hAnsi="宋体"/>
          <w:sz w:val="28"/>
          <w:szCs w:val="28"/>
        </w:rPr>
        <w:t>2013</w:t>
      </w:r>
      <w:r>
        <w:rPr>
          <w:rFonts w:hint="eastAsia" w:ascii="宋体" w:hAnsi="宋体"/>
          <w:sz w:val="28"/>
          <w:szCs w:val="28"/>
        </w:rPr>
        <w:t>年制</w:t>
      </w:r>
    </w:p>
    <w:p>
      <w:pPr>
        <w:pStyle w:val="2"/>
        <w:spacing w:before="400"/>
        <w:jc w:val="center"/>
        <w:rPr>
          <w:b w:val="0"/>
          <w:bCs w:val="0"/>
          <w:sz w:val="32"/>
          <w:szCs w:val="32"/>
        </w:rPr>
      </w:pPr>
    </w:p>
    <w:p>
      <w:pPr>
        <w:pStyle w:val="2"/>
        <w:spacing w:before="400"/>
        <w:jc w:val="center"/>
        <w:rPr>
          <w:rFonts w:eastAsia="黑体"/>
          <w:b w:val="0"/>
          <w:bCs w:val="0"/>
          <w:sz w:val="32"/>
          <w:szCs w:val="32"/>
        </w:rPr>
      </w:pPr>
      <w:r>
        <w:rPr>
          <w:rFonts w:hint="eastAsia" w:cs="宋体"/>
          <w:b w:val="0"/>
          <w:bCs w:val="0"/>
          <w:sz w:val="32"/>
          <w:szCs w:val="32"/>
        </w:rPr>
        <w:t>填</w:t>
      </w:r>
      <w:r>
        <w:rPr>
          <w:b w:val="0"/>
          <w:bCs w:val="0"/>
          <w:sz w:val="32"/>
          <w:szCs w:val="32"/>
        </w:rPr>
        <w:t xml:space="preserve"> </w:t>
      </w:r>
      <w:r>
        <w:rPr>
          <w:rFonts w:hint="eastAsia" w:cs="宋体"/>
          <w:b w:val="0"/>
          <w:bCs w:val="0"/>
          <w:sz w:val="32"/>
          <w:szCs w:val="32"/>
        </w:rPr>
        <w:t>报</w:t>
      </w:r>
      <w:r>
        <w:rPr>
          <w:b w:val="0"/>
          <w:bCs w:val="0"/>
          <w:sz w:val="32"/>
          <w:szCs w:val="32"/>
        </w:rPr>
        <w:t xml:space="preserve"> </w:t>
      </w:r>
      <w:r>
        <w:rPr>
          <w:rFonts w:hint="eastAsia" w:cs="宋体"/>
          <w:b w:val="0"/>
          <w:bCs w:val="0"/>
          <w:sz w:val="32"/>
          <w:szCs w:val="32"/>
        </w:rPr>
        <w:t>说</w:t>
      </w:r>
      <w:r>
        <w:rPr>
          <w:b w:val="0"/>
          <w:bCs w:val="0"/>
          <w:sz w:val="32"/>
          <w:szCs w:val="32"/>
        </w:rPr>
        <w:t xml:space="preserve"> </w:t>
      </w:r>
      <w:r>
        <w:rPr>
          <w:rFonts w:hint="eastAsia" w:cs="宋体"/>
          <w:b w:val="0"/>
          <w:bCs w:val="0"/>
          <w:sz w:val="32"/>
          <w:szCs w:val="32"/>
        </w:rPr>
        <w:t>明</w:t>
      </w:r>
    </w:p>
    <w:p>
      <w:pPr>
        <w:tabs>
          <w:tab w:val="left" w:pos="480"/>
        </w:tabs>
        <w:spacing w:line="400" w:lineRule="exact"/>
        <w:ind w:left="567" w:right="567" w:firstLine="480"/>
        <w:rPr>
          <w:sz w:val="24"/>
          <w:szCs w:val="24"/>
        </w:rPr>
      </w:pPr>
      <w:r>
        <w:rPr>
          <w:rFonts w:hint="eastAsia"/>
          <w:sz w:val="24"/>
          <w:szCs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sz w:val="24"/>
          <w:szCs w:val="24"/>
        </w:rPr>
      </w:pPr>
    </w:p>
    <w:p>
      <w:pPr>
        <w:tabs>
          <w:tab w:val="left" w:pos="480"/>
        </w:tabs>
        <w:spacing w:line="400" w:lineRule="exact"/>
        <w:ind w:left="567" w:right="567" w:firstLine="480"/>
        <w:rPr>
          <w:sz w:val="24"/>
          <w:szCs w:val="24"/>
        </w:rPr>
      </w:pPr>
      <w:r>
        <w:rPr>
          <w:rFonts w:hint="eastAsia"/>
          <w:sz w:val="24"/>
          <w:szCs w:val="24"/>
        </w:rPr>
        <w:t>二、申请书一律用</w:t>
      </w:r>
      <w:r>
        <w:rPr>
          <w:sz w:val="24"/>
          <w:szCs w:val="24"/>
        </w:rPr>
        <w:t>A4</w:t>
      </w:r>
      <w:r>
        <w:rPr>
          <w:rFonts w:hint="eastAsia"/>
          <w:sz w:val="24"/>
          <w:szCs w:val="24"/>
        </w:rPr>
        <w:t>纸，于左侧装订成册。第二页起各栏空格不够时，请自行加页。如有查新报告及其它附件材料，请连同申请书一起装订成册。附件不超过</w:t>
      </w:r>
      <w:r>
        <w:rPr>
          <w:sz w:val="24"/>
          <w:szCs w:val="24"/>
        </w:rPr>
        <w:t>20</w:t>
      </w:r>
      <w:r>
        <w:rPr>
          <w:rFonts w:hint="eastAsia"/>
          <w:sz w:val="24"/>
          <w:szCs w:val="24"/>
        </w:rPr>
        <w:t>页。</w:t>
      </w:r>
    </w:p>
    <w:p>
      <w:pPr>
        <w:tabs>
          <w:tab w:val="left" w:pos="480"/>
        </w:tabs>
        <w:spacing w:line="400" w:lineRule="exact"/>
        <w:ind w:left="567" w:right="567" w:firstLine="480"/>
        <w:rPr>
          <w:sz w:val="24"/>
          <w:szCs w:val="24"/>
        </w:rPr>
      </w:pPr>
    </w:p>
    <w:p>
      <w:pPr>
        <w:tabs>
          <w:tab w:val="left" w:pos="480"/>
        </w:tabs>
        <w:spacing w:line="400" w:lineRule="exact"/>
        <w:ind w:left="567" w:right="567"/>
        <w:rPr>
          <w:sz w:val="24"/>
          <w:szCs w:val="24"/>
        </w:rPr>
      </w:pPr>
      <w:r>
        <w:rPr>
          <w:sz w:val="24"/>
          <w:szCs w:val="24"/>
        </w:rPr>
        <w:t xml:space="preserve">    </w:t>
      </w:r>
      <w:r>
        <w:rPr>
          <w:rFonts w:hint="eastAsia"/>
          <w:sz w:val="24"/>
          <w:szCs w:val="24"/>
        </w:rPr>
        <w:t>三、“所属学科”按湖南高校科技网政策法规栏公布的二级学科名称填写，“项目类别”在“重点”、“优秀青年”、“一般”三类中选择。</w:t>
      </w: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jc w:val="right"/>
      </w:pPr>
      <w:r>
        <w:rPr>
          <w:rFonts w:hint="eastAsia"/>
        </w:rPr>
        <w:t>（封</w:t>
      </w:r>
      <w:r>
        <w:t>2</w:t>
      </w:r>
      <w:r>
        <w:rPr>
          <w:rFonts w:hint="eastAsia"/>
        </w:rPr>
        <w:t>，此页不装订）</w:t>
      </w:r>
    </w:p>
    <w:p>
      <w:pPr>
        <w:tabs>
          <w:tab w:val="left" w:pos="480"/>
        </w:tabs>
        <w:spacing w:line="400" w:lineRule="exact"/>
        <w:ind w:right="567"/>
        <w:rPr>
          <w:rFonts w:ascii="黑体" w:eastAsia="黑体"/>
          <w:sz w:val="28"/>
          <w:szCs w:val="28"/>
        </w:rPr>
        <w:sectPr>
          <w:headerReference r:id="rId4" w:type="first"/>
          <w:headerReference r:id="rId3" w:type="default"/>
          <w:footerReference r:id="rId5" w:type="default"/>
          <w:pgSz w:w="11907" w:h="16840"/>
          <w:pgMar w:top="1134" w:right="851" w:bottom="1134" w:left="851" w:header="340" w:footer="567" w:gutter="0"/>
          <w:pgNumType w:start="1"/>
          <w:cols w:space="425" w:num="1"/>
          <w:titlePg/>
          <w:docGrid w:type="linesAndChars" w:linePitch="312" w:charSpace="0"/>
        </w:sectPr>
      </w:pPr>
    </w:p>
    <w:p>
      <w:pPr>
        <w:tabs>
          <w:tab w:val="left" w:pos="480"/>
        </w:tabs>
        <w:spacing w:line="400" w:lineRule="exact"/>
        <w:ind w:right="567"/>
        <w:rPr>
          <w:rFonts w:ascii="黑体" w:eastAsia="黑体"/>
          <w:sz w:val="28"/>
          <w:szCs w:val="28"/>
        </w:rPr>
      </w:pPr>
      <w:r>
        <w:rPr>
          <w:rFonts w:hint="eastAsia" w:ascii="黑体" w:eastAsia="黑体" w:cs="黑体"/>
          <w:sz w:val="28"/>
          <w:szCs w:val="28"/>
        </w:rPr>
        <w:t>一、简表</w:t>
      </w:r>
    </w:p>
    <w:tbl>
      <w:tblPr>
        <w:tblStyle w:val="6"/>
        <w:tblW w:w="10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6"/>
        <w:gridCol w:w="656"/>
        <w:gridCol w:w="727"/>
        <w:gridCol w:w="1033"/>
        <w:gridCol w:w="173"/>
        <w:gridCol w:w="536"/>
        <w:gridCol w:w="320"/>
        <w:gridCol w:w="672"/>
        <w:gridCol w:w="49"/>
        <w:gridCol w:w="21"/>
        <w:gridCol w:w="699"/>
        <w:gridCol w:w="82"/>
        <w:gridCol w:w="718"/>
        <w:gridCol w:w="1308"/>
        <w:gridCol w:w="50"/>
        <w:gridCol w:w="281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183" w:type="dxa"/>
            <w:gridSpan w:val="3"/>
            <w:tcBorders>
              <w:left w:val="single" w:color="auto" w:sz="12" w:space="0"/>
              <w:bottom w:val="single" w:color="auto" w:sz="6" w:space="0"/>
              <w:right w:val="single" w:color="auto" w:sz="6" w:space="0"/>
            </w:tcBorders>
            <w:vAlign w:val="center"/>
          </w:tcPr>
          <w:p>
            <w:pPr>
              <w:jc w:val="center"/>
              <w:rPr>
                <w:rFonts w:ascii="宋体"/>
              </w:rPr>
            </w:pPr>
            <w:r>
              <w:rPr>
                <w:rFonts w:hint="eastAsia" w:ascii="宋体"/>
              </w:rPr>
              <w:t>项目名称</w:t>
            </w:r>
          </w:p>
        </w:tc>
        <w:tc>
          <w:tcPr>
            <w:tcW w:w="9214" w:type="dxa"/>
            <w:gridSpan w:val="15"/>
            <w:tcBorders>
              <w:left w:val="single" w:color="auto" w:sz="6" w:space="0"/>
              <w:bottom w:val="single" w:color="auto" w:sz="6" w:space="0"/>
              <w:right w:val="single" w:color="auto" w:sz="12" w:space="0"/>
            </w:tcBorders>
            <w:vAlign w:val="center"/>
          </w:tcPr>
          <w:p>
            <w:pPr>
              <w:jc w:val="center"/>
              <w:rPr>
                <w:rFonts w:ascii="宋体"/>
                <w:b/>
              </w:rPr>
            </w:pPr>
            <w:r>
              <w:rPr>
                <w:rFonts w:hint="eastAsia" w:ascii="宋体"/>
                <w:b/>
              </w:rPr>
              <w:t>融入思政教育的高校学生资助管理体系研究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183" w:type="dxa"/>
            <w:gridSpan w:val="3"/>
            <w:tcBorders>
              <w:left w:val="single" w:color="auto" w:sz="12" w:space="0"/>
              <w:bottom w:val="single" w:color="auto" w:sz="6" w:space="0"/>
              <w:right w:val="single" w:color="auto" w:sz="6" w:space="0"/>
            </w:tcBorders>
            <w:vAlign w:val="center"/>
          </w:tcPr>
          <w:p>
            <w:pPr>
              <w:jc w:val="center"/>
              <w:rPr>
                <w:rFonts w:ascii="宋体"/>
              </w:rPr>
            </w:pPr>
            <w:r>
              <w:rPr>
                <w:rFonts w:hint="eastAsia" w:ascii="宋体"/>
              </w:rPr>
              <w:t>研究类型</w:t>
            </w:r>
          </w:p>
        </w:tc>
        <w:tc>
          <w:tcPr>
            <w:tcW w:w="9214" w:type="dxa"/>
            <w:gridSpan w:val="15"/>
            <w:tcBorders>
              <w:left w:val="single" w:color="auto" w:sz="6" w:space="0"/>
              <w:bottom w:val="single" w:color="auto" w:sz="6" w:space="0"/>
              <w:right w:val="single" w:color="auto" w:sz="12" w:space="0"/>
            </w:tcBorders>
            <w:vAlign w:val="center"/>
          </w:tcPr>
          <w:p>
            <w:pPr>
              <w:jc w:val="center"/>
              <w:rPr>
                <w:rFonts w:ascii="宋体"/>
              </w:rPr>
            </w:pPr>
            <w:r>
              <w:rPr>
                <w:rFonts w:hint="eastAsia" w:ascii="宋体"/>
              </w:rPr>
              <w:t>基础研究（）</w:t>
            </w:r>
            <w:r>
              <w:rPr>
                <w:rFonts w:ascii="宋体"/>
              </w:rPr>
              <w:t xml:space="preserve">                  </w:t>
            </w:r>
            <w:r>
              <w:rPr>
                <w:rFonts w:hint="eastAsia" w:ascii="宋体"/>
              </w:rPr>
              <w:t>应用研究（</w:t>
            </w:r>
            <w:r>
              <w:rPr>
                <w:rFonts w:hint="eastAsia" w:ascii="宋体" w:hAnsi="宋体"/>
              </w:rPr>
              <w:t>√</w:t>
            </w:r>
            <w:r>
              <w:rPr>
                <w:rFonts w:ascii="宋体"/>
              </w:rPr>
              <w:t xml:space="preserve"> </w:t>
            </w:r>
            <w:r>
              <w:rPr>
                <w:rFonts w:hint="eastAsia" w:ascii="宋体"/>
              </w:rPr>
              <w:t>）</w:t>
            </w:r>
            <w:r>
              <w:rPr>
                <w:rFonts w:ascii="宋体"/>
              </w:rPr>
              <w:t xml:space="preserve">              </w:t>
            </w:r>
            <w:r>
              <w:rPr>
                <w:rFonts w:hint="eastAsia" w:ascii="宋体"/>
              </w:rPr>
              <w:t>试验发展（</w:t>
            </w:r>
            <w:r>
              <w:rPr>
                <w:rFonts w:ascii="宋体"/>
              </w:rPr>
              <w:t xml:space="preserve">  </w:t>
            </w:r>
            <w:r>
              <w:rPr>
                <w:rFonts w:hint="eastAsia" w:asci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3" w:type="dxa"/>
            <w:gridSpan w:val="3"/>
            <w:tcBorders>
              <w:top w:val="single" w:color="auto" w:sz="6" w:space="0"/>
              <w:left w:val="single" w:color="auto" w:sz="12" w:space="0"/>
              <w:bottom w:val="single" w:color="auto" w:sz="6" w:space="0"/>
              <w:right w:val="single" w:color="auto" w:sz="6" w:space="0"/>
            </w:tcBorders>
            <w:vAlign w:val="center"/>
          </w:tcPr>
          <w:p>
            <w:pPr>
              <w:jc w:val="center"/>
              <w:rPr>
                <w:rFonts w:ascii="宋体"/>
              </w:rPr>
            </w:pPr>
            <w:r>
              <w:rPr>
                <w:rFonts w:hint="eastAsia" w:ascii="宋体"/>
              </w:rPr>
              <w:t>研究年限</w:t>
            </w:r>
          </w:p>
        </w:tc>
        <w:tc>
          <w:tcPr>
            <w:tcW w:w="3531" w:type="dxa"/>
            <w:gridSpan w:val="8"/>
            <w:tcBorders>
              <w:top w:val="single" w:color="auto" w:sz="6" w:space="0"/>
              <w:left w:val="single" w:color="auto" w:sz="6" w:space="0"/>
              <w:bottom w:val="single" w:color="auto" w:sz="6" w:space="0"/>
            </w:tcBorders>
            <w:vAlign w:val="center"/>
          </w:tcPr>
          <w:p>
            <w:pPr>
              <w:rPr>
                <w:rFonts w:ascii="楷体_GB2312" w:eastAsia="楷体_GB2312"/>
              </w:rPr>
            </w:pPr>
            <w:r>
              <w:rPr>
                <w:rFonts w:ascii="楷体_GB2312" w:eastAsia="楷体_GB2312"/>
              </w:rPr>
              <w:t>2020-10-01</w:t>
            </w:r>
            <w:r>
              <w:rPr>
                <w:rFonts w:hint="eastAsia" w:ascii="楷体_GB2312" w:eastAsia="楷体_GB2312"/>
              </w:rPr>
              <w:t>至</w:t>
            </w:r>
            <w:r>
              <w:rPr>
                <w:rFonts w:ascii="楷体_GB2312" w:eastAsia="楷体_GB2312"/>
              </w:rPr>
              <w:t>2022-10-1</w:t>
            </w:r>
          </w:p>
        </w:tc>
        <w:tc>
          <w:tcPr>
            <w:tcW w:w="5683" w:type="dxa"/>
            <w:gridSpan w:val="7"/>
            <w:tcBorders>
              <w:top w:val="single" w:color="auto" w:sz="6" w:space="0"/>
              <w:bottom w:val="single" w:color="auto" w:sz="6" w:space="0"/>
              <w:right w:val="single" w:color="auto" w:sz="12" w:space="0"/>
            </w:tcBorders>
            <w:vAlign w:val="center"/>
          </w:tcPr>
          <w:p>
            <w:pPr>
              <w:rPr>
                <w:rFonts w:ascii="宋体"/>
              </w:rPr>
            </w:pPr>
            <w:r>
              <w:rPr>
                <w:rFonts w:hint="eastAsia" w:ascii="宋体"/>
              </w:rPr>
              <w:t>申请经费（万元）</w:t>
            </w:r>
            <w:r>
              <w:rPr>
                <w:rFonts w:ascii="宋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60" w:hRule="atLeast"/>
        </w:trPr>
        <w:tc>
          <w:tcPr>
            <w:tcW w:w="511" w:type="dxa"/>
            <w:vMerge w:val="restart"/>
            <w:tcBorders>
              <w:top w:val="single" w:color="auto" w:sz="6" w:space="0"/>
              <w:left w:val="single" w:color="auto" w:sz="12" w:space="0"/>
              <w:right w:val="single" w:color="auto" w:sz="6" w:space="0"/>
            </w:tcBorders>
            <w:vAlign w:val="center"/>
          </w:tcPr>
          <w:p>
            <w:pPr>
              <w:jc w:val="center"/>
              <w:rPr>
                <w:rFonts w:ascii="宋体"/>
              </w:rPr>
            </w:pPr>
            <w:r>
              <w:rPr>
                <w:rFonts w:hint="eastAsia" w:ascii="宋体"/>
              </w:rPr>
              <w:t>项目负责人</w:t>
            </w:r>
          </w:p>
        </w:tc>
        <w:tc>
          <w:tcPr>
            <w:tcW w:w="13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姓名</w:t>
            </w:r>
          </w:p>
        </w:tc>
        <w:tc>
          <w:tcPr>
            <w:tcW w:w="120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李真西</w:t>
            </w:r>
          </w:p>
        </w:tc>
        <w:tc>
          <w:tcPr>
            <w:tcW w:w="85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学位</w:t>
            </w:r>
          </w:p>
        </w:tc>
        <w:tc>
          <w:tcPr>
            <w:tcW w:w="721" w:type="dxa"/>
            <w:gridSpan w:val="2"/>
            <w:tcBorders>
              <w:top w:val="single" w:color="auto" w:sz="6" w:space="0"/>
              <w:left w:val="single" w:color="auto" w:sz="6" w:space="0"/>
              <w:bottom w:val="single" w:color="auto" w:sz="6" w:space="0"/>
            </w:tcBorders>
            <w:vAlign w:val="center"/>
          </w:tcPr>
          <w:p>
            <w:pPr>
              <w:rPr>
                <w:rFonts w:ascii="宋体"/>
              </w:rPr>
            </w:pPr>
            <w:r>
              <w:rPr>
                <w:rFonts w:hint="eastAsia" w:ascii="宋体"/>
              </w:rPr>
              <w:t>学士</w:t>
            </w:r>
          </w:p>
        </w:tc>
        <w:tc>
          <w:tcPr>
            <w:tcW w:w="720" w:type="dxa"/>
            <w:gridSpan w:val="2"/>
            <w:tcBorders>
              <w:top w:val="single" w:color="auto" w:sz="6" w:space="0"/>
              <w:bottom w:val="single" w:color="auto" w:sz="6" w:space="0"/>
            </w:tcBorders>
            <w:vAlign w:val="center"/>
          </w:tcPr>
          <w:p>
            <w:pPr>
              <w:rPr>
                <w:rFonts w:ascii="宋体"/>
              </w:rPr>
            </w:pPr>
            <w:r>
              <w:rPr>
                <w:rFonts w:hint="eastAsia" w:ascii="宋体"/>
              </w:rPr>
              <w:t>职称</w:t>
            </w:r>
          </w:p>
        </w:tc>
        <w:tc>
          <w:tcPr>
            <w:tcW w:w="800" w:type="dxa"/>
            <w:gridSpan w:val="2"/>
            <w:tcBorders>
              <w:top w:val="single" w:color="auto" w:sz="6" w:space="0"/>
              <w:bottom w:val="single" w:color="auto" w:sz="6" w:space="0"/>
            </w:tcBorders>
            <w:vAlign w:val="center"/>
          </w:tcPr>
          <w:p>
            <w:pPr>
              <w:rPr>
                <w:rFonts w:ascii="宋体"/>
              </w:rPr>
            </w:pPr>
            <w:r>
              <w:rPr>
                <w:rFonts w:hint="eastAsia" w:ascii="宋体"/>
              </w:rPr>
              <w:t>实验师</w:t>
            </w:r>
          </w:p>
        </w:tc>
        <w:tc>
          <w:tcPr>
            <w:tcW w:w="1358" w:type="dxa"/>
            <w:gridSpan w:val="2"/>
            <w:tcBorders>
              <w:top w:val="single" w:color="auto" w:sz="6" w:space="0"/>
              <w:bottom w:val="single" w:color="auto" w:sz="6" w:space="0"/>
            </w:tcBorders>
            <w:vAlign w:val="center"/>
          </w:tcPr>
          <w:p>
            <w:pPr>
              <w:rPr>
                <w:rFonts w:ascii="宋体"/>
              </w:rPr>
            </w:pPr>
            <w:r>
              <w:rPr>
                <w:rFonts w:hint="eastAsia" w:ascii="宋体"/>
              </w:rPr>
              <w:t>身份证号码</w:t>
            </w:r>
          </w:p>
        </w:tc>
        <w:tc>
          <w:tcPr>
            <w:tcW w:w="2812" w:type="dxa"/>
            <w:tcBorders>
              <w:top w:val="single" w:color="auto" w:sz="6" w:space="0"/>
              <w:bottom w:val="single" w:color="auto" w:sz="6" w:space="0"/>
              <w:right w:val="single" w:color="auto" w:sz="12" w:space="0"/>
            </w:tcBorders>
            <w:vAlign w:val="center"/>
          </w:tcPr>
          <w:p>
            <w:pPr>
              <w:rPr>
                <w:rFonts w:ascii="宋体"/>
              </w:rPr>
            </w:pPr>
            <w:r>
              <w:rPr>
                <w:rFonts w:ascii="宋体"/>
              </w:rPr>
              <w:t>430821199201194814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818" w:hRule="atLeast"/>
        </w:trPr>
        <w:tc>
          <w:tcPr>
            <w:tcW w:w="511" w:type="dxa"/>
            <w:vMerge w:val="continue"/>
            <w:tcBorders>
              <w:left w:val="single" w:color="auto" w:sz="12" w:space="0"/>
              <w:right w:val="single" w:color="auto" w:sz="6" w:space="0"/>
            </w:tcBorders>
          </w:tcPr>
          <w:p>
            <w:pPr>
              <w:rPr>
                <w:rFonts w:ascii="宋体"/>
              </w:rPr>
            </w:pPr>
          </w:p>
        </w:tc>
        <w:tc>
          <w:tcPr>
            <w:tcW w:w="9872" w:type="dxa"/>
            <w:gridSpan w:val="16"/>
            <w:tcBorders>
              <w:top w:val="single" w:color="auto" w:sz="6" w:space="0"/>
              <w:left w:val="single" w:color="auto" w:sz="6" w:space="0"/>
              <w:right w:val="single" w:color="auto" w:sz="12" w:space="0"/>
            </w:tcBorders>
          </w:tcPr>
          <w:p>
            <w:pPr>
              <w:rPr>
                <w:rFonts w:ascii="宋体"/>
              </w:rPr>
            </w:pPr>
            <w:r>
              <w:rPr>
                <w:rFonts w:hint="eastAsia" w:ascii="宋体"/>
              </w:rPr>
              <w:t>主要学习和工作经历</w:t>
            </w:r>
            <w:r>
              <w:rPr>
                <w:rFonts w:ascii="宋体"/>
              </w:rPr>
              <w:t>(</w:t>
            </w:r>
            <w:r>
              <w:rPr>
                <w:rFonts w:hint="eastAsia" w:ascii="宋体"/>
              </w:rPr>
              <w:t>自大学开始</w:t>
            </w:r>
            <w:r>
              <w:rPr>
                <w:rFonts w:ascii="宋体"/>
              </w:rPr>
              <w:t>)</w:t>
            </w:r>
          </w:p>
          <w:p>
            <w:pPr>
              <w:rPr>
                <w:rFonts w:ascii="宋体"/>
              </w:rPr>
            </w:pPr>
            <w:r>
              <w:rPr>
                <w:rFonts w:ascii="宋体"/>
              </w:rPr>
              <w:t xml:space="preserve">2010.09-2013.07 </w:t>
            </w:r>
            <w:r>
              <w:rPr>
                <w:rFonts w:hint="eastAsia" w:ascii="宋体"/>
              </w:rPr>
              <w:t>湖南机电职业技术学院</w:t>
            </w:r>
          </w:p>
          <w:p>
            <w:pPr>
              <w:rPr>
                <w:rFonts w:ascii="宋体"/>
              </w:rPr>
            </w:pPr>
            <w:r>
              <w:rPr>
                <w:rFonts w:ascii="宋体"/>
              </w:rPr>
              <w:t xml:space="preserve">2013.09-2015.07 </w:t>
            </w:r>
            <w:r>
              <w:rPr>
                <w:rFonts w:hint="eastAsia" w:ascii="宋体"/>
              </w:rPr>
              <w:t>湖南工学院</w:t>
            </w:r>
          </w:p>
          <w:p>
            <w:pPr>
              <w:rPr>
                <w:rFonts w:ascii="宋体"/>
              </w:rPr>
            </w:pPr>
            <w:r>
              <w:rPr>
                <w:rFonts w:ascii="宋体"/>
              </w:rPr>
              <w:t xml:space="preserve">2015.09-2019.07 </w:t>
            </w:r>
            <w:r>
              <w:rPr>
                <w:rFonts w:hint="eastAsia" w:ascii="宋体"/>
              </w:rPr>
              <w:t>湖南应用技术学院</w:t>
            </w:r>
          </w:p>
          <w:p>
            <w:pPr>
              <w:rPr>
                <w:rFonts w:ascii="宋体"/>
              </w:rPr>
            </w:pPr>
            <w:r>
              <w:rPr>
                <w:rFonts w:ascii="宋体"/>
              </w:rPr>
              <w:t xml:space="preserve">2019.09 </w:t>
            </w:r>
            <w:r>
              <w:rPr>
                <w:rFonts w:hint="eastAsia" w:ascii="宋体"/>
              </w:rPr>
              <w:t>至今</w:t>
            </w:r>
            <w:r>
              <w:rPr>
                <w:rFonts w:ascii="宋体"/>
              </w:rPr>
              <w:t xml:space="preserve">    </w:t>
            </w:r>
            <w:r>
              <w:rPr>
                <w:rFonts w:hint="eastAsia" w:ascii="宋体"/>
              </w:rPr>
              <w:t>湖南电子科技职业学院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70" w:hRule="atLeast"/>
        </w:trPr>
        <w:tc>
          <w:tcPr>
            <w:tcW w:w="1910" w:type="dxa"/>
            <w:gridSpan w:val="4"/>
            <w:tcBorders>
              <w:left w:val="single" w:color="auto" w:sz="12" w:space="0"/>
              <w:right w:val="single" w:color="auto" w:sz="6" w:space="0"/>
            </w:tcBorders>
            <w:vAlign w:val="center"/>
          </w:tcPr>
          <w:p>
            <w:pPr>
              <w:jc w:val="center"/>
              <w:rPr>
                <w:rFonts w:ascii="宋体"/>
              </w:rPr>
            </w:pPr>
            <w:r>
              <w:rPr>
                <w:rFonts w:hint="eastAsia" w:ascii="宋体"/>
              </w:rPr>
              <w:t>联合申请单位</w:t>
            </w:r>
          </w:p>
        </w:tc>
        <w:tc>
          <w:tcPr>
            <w:tcW w:w="8473" w:type="dxa"/>
            <w:gridSpan w:val="13"/>
            <w:tcBorders>
              <w:top w:val="single" w:color="auto" w:sz="6" w:space="0"/>
              <w:left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22" w:hRule="atLeast"/>
        </w:trPr>
        <w:tc>
          <w:tcPr>
            <w:tcW w:w="527" w:type="dxa"/>
            <w:gridSpan w:val="2"/>
            <w:vMerge w:val="restart"/>
            <w:tcBorders>
              <w:top w:val="single" w:color="auto" w:sz="6" w:space="0"/>
              <w:left w:val="single" w:color="auto" w:sz="12" w:space="0"/>
              <w:right w:val="single" w:color="auto" w:sz="6" w:space="0"/>
            </w:tcBorders>
            <w:vAlign w:val="center"/>
          </w:tcPr>
          <w:p>
            <w:pPr>
              <w:jc w:val="center"/>
              <w:rPr>
                <w:rFonts w:ascii="宋体"/>
              </w:rPr>
            </w:pPr>
            <w:r>
              <w:rPr>
                <w:rFonts w:hint="eastAsia" w:ascii="宋体"/>
              </w:rPr>
              <w:t>其它主要研究人员</w:t>
            </w: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33" w:type="dxa"/>
            <w:tcBorders>
              <w:top w:val="single" w:color="auto" w:sz="6" w:space="0"/>
              <w:left w:val="single" w:color="auto" w:sz="6" w:space="0"/>
              <w:bottom w:val="single" w:color="auto" w:sz="6" w:space="0"/>
            </w:tcBorders>
            <w:vAlign w:val="center"/>
          </w:tcPr>
          <w:p>
            <w:pPr>
              <w:rPr>
                <w:rFonts w:ascii="宋体"/>
                <w:szCs w:val="21"/>
              </w:rPr>
            </w:pPr>
            <w:r>
              <w:rPr>
                <w:rFonts w:hint="eastAsia" w:ascii="宋体" w:hAnsi="宋体"/>
                <w:szCs w:val="21"/>
              </w:rPr>
              <w:t>职</w:t>
            </w:r>
            <w:r>
              <w:rPr>
                <w:rFonts w:ascii="宋体" w:hAnsi="宋体"/>
                <w:szCs w:val="21"/>
              </w:rPr>
              <w:t xml:space="preserve"> </w:t>
            </w:r>
            <w:r>
              <w:rPr>
                <w:rFonts w:hint="eastAsia" w:ascii="宋体" w:hAnsi="宋体"/>
                <w:szCs w:val="21"/>
              </w:rPr>
              <w:t>称</w:t>
            </w:r>
          </w:p>
        </w:tc>
        <w:tc>
          <w:tcPr>
            <w:tcW w:w="709" w:type="dxa"/>
            <w:gridSpan w:val="2"/>
            <w:tcBorders>
              <w:top w:val="single" w:color="auto" w:sz="6" w:space="0"/>
              <w:bottom w:val="single" w:color="auto" w:sz="6" w:space="0"/>
              <w:right w:val="single" w:color="auto" w:sz="6" w:space="0"/>
            </w:tcBorders>
            <w:vAlign w:val="center"/>
          </w:tcPr>
          <w:p>
            <w:pPr>
              <w:rPr>
                <w:rFonts w:ascii="宋体"/>
                <w:szCs w:val="21"/>
              </w:rPr>
            </w:pPr>
            <w:r>
              <w:rPr>
                <w:rFonts w:hint="eastAsia" w:ascii="宋体" w:hAnsi="宋体"/>
                <w:szCs w:val="21"/>
              </w:rPr>
              <w:t>已获</w:t>
            </w:r>
          </w:p>
          <w:p>
            <w:pPr>
              <w:rPr>
                <w:rFonts w:ascii="宋体"/>
                <w:szCs w:val="21"/>
              </w:rPr>
            </w:pPr>
            <w:r>
              <w:rPr>
                <w:rFonts w:hint="eastAsia" w:ascii="宋体" w:hAnsi="宋体"/>
                <w:szCs w:val="21"/>
              </w:rPr>
              <w:t>学位</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专业</w:t>
            </w: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本人</w:t>
            </w:r>
          </w:p>
          <w:p>
            <w:pPr>
              <w:jc w:val="center"/>
              <w:rPr>
                <w:rFonts w:ascii="宋体"/>
                <w:szCs w:val="21"/>
              </w:rPr>
            </w:pPr>
            <w:r>
              <w:rPr>
                <w:rFonts w:hint="eastAsia" w:ascii="宋体" w:hAnsi="宋体"/>
                <w:szCs w:val="21"/>
              </w:rPr>
              <w:t>签名</w:t>
            </w:r>
          </w:p>
        </w:tc>
        <w:tc>
          <w:tcPr>
            <w:tcW w:w="2026" w:type="dxa"/>
            <w:gridSpan w:val="2"/>
            <w:tcBorders>
              <w:top w:val="single" w:color="auto" w:sz="6" w:space="0"/>
              <w:left w:val="single" w:color="auto" w:sz="6" w:space="0"/>
              <w:bottom w:val="single" w:color="auto" w:sz="6" w:space="0"/>
            </w:tcBorders>
            <w:vAlign w:val="center"/>
          </w:tcPr>
          <w:p>
            <w:pPr>
              <w:jc w:val="center"/>
              <w:rPr>
                <w:rFonts w:ascii="宋体"/>
                <w:szCs w:val="21"/>
              </w:rPr>
            </w:pPr>
            <w:r>
              <w:rPr>
                <w:rFonts w:hint="eastAsia" w:ascii="宋体" w:hAnsi="宋体"/>
                <w:szCs w:val="21"/>
              </w:rPr>
              <w:t>所在单位</w:t>
            </w:r>
          </w:p>
        </w:tc>
        <w:tc>
          <w:tcPr>
            <w:tcW w:w="2862" w:type="dxa"/>
            <w:gridSpan w:val="2"/>
            <w:tcBorders>
              <w:top w:val="single" w:color="auto" w:sz="6" w:space="0"/>
              <w:bottom w:val="single" w:color="auto" w:sz="6" w:space="0"/>
              <w:right w:val="single" w:color="auto" w:sz="12" w:space="0"/>
            </w:tcBorders>
            <w:vAlign w:val="center"/>
          </w:tcPr>
          <w:p>
            <w:pPr>
              <w:jc w:val="center"/>
              <w:rPr>
                <w:rFonts w:ascii="宋体"/>
                <w:szCs w:val="21"/>
              </w:rPr>
            </w:pPr>
            <w:r>
              <w:rPr>
                <w:rFonts w:hint="eastAsia" w:ascii="宋体" w:hAnsi="宋体"/>
                <w:szCs w:val="21"/>
              </w:rPr>
              <w:t>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22" w:hRule="atLeast"/>
        </w:trPr>
        <w:tc>
          <w:tcPr>
            <w:tcW w:w="527" w:type="dxa"/>
            <w:gridSpan w:val="2"/>
            <w:vMerge w:val="continue"/>
            <w:tcBorders>
              <w:top w:val="single" w:color="auto" w:sz="6" w:space="0"/>
              <w:left w:val="single" w:color="auto" w:sz="12" w:space="0"/>
              <w:right w:val="single" w:color="auto" w:sz="6" w:space="0"/>
            </w:tcBorders>
            <w:vAlign w:val="center"/>
          </w:tcPr>
          <w:p>
            <w:pPr>
              <w:jc w:val="center"/>
              <w:rPr>
                <w:rFonts w:ascii="宋体"/>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肖建凡</w:t>
            </w:r>
          </w:p>
        </w:tc>
        <w:tc>
          <w:tcPr>
            <w:tcW w:w="1033" w:type="dxa"/>
            <w:tcBorders>
              <w:top w:val="single" w:color="auto" w:sz="6" w:space="0"/>
              <w:left w:val="single" w:color="auto" w:sz="6" w:space="0"/>
              <w:bottom w:val="single" w:color="auto" w:sz="6" w:space="0"/>
            </w:tcBorders>
            <w:vAlign w:val="center"/>
          </w:tcPr>
          <w:p>
            <w:pPr>
              <w:jc w:val="center"/>
              <w:rPr>
                <w:rFonts w:ascii="宋体"/>
                <w:szCs w:val="21"/>
              </w:rPr>
            </w:pPr>
            <w:r>
              <w:rPr>
                <w:rFonts w:hint="eastAsia" w:ascii="宋体"/>
                <w:szCs w:val="21"/>
              </w:rPr>
              <w:t>中级</w:t>
            </w:r>
          </w:p>
        </w:tc>
        <w:tc>
          <w:tcPr>
            <w:tcW w:w="709" w:type="dxa"/>
            <w:gridSpan w:val="2"/>
            <w:tcBorders>
              <w:top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本科</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思想政治教育</w:t>
            </w: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p>
        </w:tc>
        <w:tc>
          <w:tcPr>
            <w:tcW w:w="2026" w:type="dxa"/>
            <w:gridSpan w:val="2"/>
            <w:tcBorders>
              <w:top w:val="single" w:color="auto" w:sz="6" w:space="0"/>
              <w:left w:val="single" w:color="auto" w:sz="6" w:space="0"/>
              <w:bottom w:val="single" w:color="auto" w:sz="6" w:space="0"/>
            </w:tcBorders>
            <w:vAlign w:val="center"/>
          </w:tcPr>
          <w:p>
            <w:pPr>
              <w:jc w:val="center"/>
              <w:rPr>
                <w:rFonts w:ascii="宋体"/>
                <w:szCs w:val="21"/>
              </w:rPr>
            </w:pPr>
            <w:r>
              <w:rPr>
                <w:rFonts w:hint="eastAsia" w:ascii="宋体" w:hAnsi="宋体"/>
                <w:szCs w:val="21"/>
              </w:rPr>
              <w:t>湖南电子科技职业学院</w:t>
            </w:r>
          </w:p>
        </w:tc>
        <w:tc>
          <w:tcPr>
            <w:tcW w:w="2862" w:type="dxa"/>
            <w:gridSpan w:val="2"/>
            <w:tcBorders>
              <w:top w:val="single" w:color="auto" w:sz="6" w:space="0"/>
              <w:bottom w:val="single" w:color="auto" w:sz="6" w:space="0"/>
              <w:right w:val="single" w:color="auto" w:sz="12" w:space="0"/>
            </w:tcBorders>
            <w:vAlign w:val="center"/>
          </w:tcPr>
          <w:p>
            <w:pPr>
              <w:jc w:val="center"/>
              <w:rPr>
                <w:rFonts w:ascii="宋体" w:hAnsi="宋体"/>
                <w:szCs w:val="21"/>
              </w:rPr>
            </w:pPr>
            <w:r>
              <w:rPr>
                <w:rFonts w:ascii="宋体" w:hAnsi="宋体"/>
                <w:szCs w:val="21"/>
              </w:rPr>
              <w:t>430527196910020014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szCs w:val="21"/>
              </w:rPr>
              <w:t>孙锦龙</w:t>
            </w:r>
          </w:p>
        </w:tc>
        <w:tc>
          <w:tcPr>
            <w:tcW w:w="1033" w:type="dxa"/>
            <w:tcBorders>
              <w:top w:val="single" w:color="auto" w:sz="6" w:space="0"/>
              <w:left w:val="single" w:color="auto" w:sz="6" w:space="0"/>
              <w:bottom w:val="single" w:color="auto" w:sz="6" w:space="0"/>
            </w:tcBorders>
            <w:vAlign w:val="center"/>
          </w:tcPr>
          <w:p>
            <w:pPr>
              <w:jc w:val="center"/>
              <w:rPr>
                <w:rFonts w:ascii="宋体"/>
                <w:szCs w:val="21"/>
              </w:rPr>
            </w:pPr>
            <w:r>
              <w:rPr>
                <w:rFonts w:hint="eastAsia" w:ascii="宋体"/>
                <w:szCs w:val="21"/>
              </w:rPr>
              <w:t>初级</w:t>
            </w:r>
          </w:p>
        </w:tc>
        <w:tc>
          <w:tcPr>
            <w:tcW w:w="709" w:type="dxa"/>
            <w:gridSpan w:val="2"/>
            <w:tcBorders>
              <w:top w:val="single" w:color="auto" w:sz="6" w:space="0"/>
              <w:bottom w:val="single" w:color="auto" w:sz="6" w:space="0"/>
              <w:right w:val="single" w:color="auto" w:sz="6" w:space="0"/>
            </w:tcBorders>
            <w:vAlign w:val="center"/>
          </w:tcPr>
          <w:p>
            <w:pPr>
              <w:jc w:val="center"/>
              <w:rPr>
                <w:rFonts w:ascii="宋体"/>
                <w:szCs w:val="21"/>
              </w:rPr>
            </w:pPr>
            <w:r>
              <w:rPr>
                <w:rFonts w:hint="eastAsia" w:ascii="宋体"/>
                <w:szCs w:val="21"/>
              </w:rPr>
              <w:t>本科</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思想政治教育</w:t>
            </w: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p>
        </w:tc>
        <w:tc>
          <w:tcPr>
            <w:tcW w:w="2026" w:type="dxa"/>
            <w:gridSpan w:val="2"/>
            <w:tcBorders>
              <w:top w:val="single" w:color="auto" w:sz="6" w:space="0"/>
              <w:left w:val="single" w:color="auto" w:sz="6" w:space="0"/>
              <w:bottom w:val="single" w:color="auto" w:sz="6" w:space="0"/>
            </w:tcBorders>
            <w:vAlign w:val="center"/>
          </w:tcPr>
          <w:p>
            <w:pPr>
              <w:jc w:val="center"/>
              <w:rPr>
                <w:rFonts w:ascii="宋体"/>
                <w:szCs w:val="21"/>
              </w:rPr>
            </w:pPr>
            <w:r>
              <w:rPr>
                <w:rFonts w:hint="eastAsia" w:ascii="宋体" w:hAnsi="宋体"/>
                <w:szCs w:val="21"/>
              </w:rPr>
              <w:t>湖南电子科技职业学院</w:t>
            </w:r>
          </w:p>
        </w:tc>
        <w:tc>
          <w:tcPr>
            <w:tcW w:w="2862" w:type="dxa"/>
            <w:gridSpan w:val="2"/>
            <w:tcBorders>
              <w:top w:val="single" w:color="auto" w:sz="6" w:space="0"/>
              <w:bottom w:val="single" w:color="auto" w:sz="6" w:space="0"/>
              <w:right w:val="single" w:color="auto" w:sz="12" w:space="0"/>
            </w:tcBorders>
            <w:vAlign w:val="center"/>
          </w:tcPr>
          <w:p>
            <w:pPr>
              <w:jc w:val="center"/>
              <w:rPr>
                <w:rFonts w:ascii="宋体" w:hAnsi="宋体"/>
                <w:szCs w:val="21"/>
              </w:rPr>
            </w:pPr>
            <w:r>
              <w:rPr>
                <w:rFonts w:ascii="宋体" w:hAnsi="宋体"/>
                <w:szCs w:val="21"/>
              </w:rPr>
              <w:t>433002198011173911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杨艳红</w:t>
            </w:r>
          </w:p>
        </w:tc>
        <w:tc>
          <w:tcPr>
            <w:tcW w:w="1033" w:type="dxa"/>
            <w:tcBorders>
              <w:top w:val="single" w:color="auto" w:sz="6" w:space="0"/>
              <w:left w:val="single" w:color="auto" w:sz="6" w:space="0"/>
              <w:bottom w:val="single" w:color="auto" w:sz="6" w:space="0"/>
            </w:tcBorders>
            <w:vAlign w:val="center"/>
          </w:tcPr>
          <w:p>
            <w:pPr>
              <w:jc w:val="center"/>
              <w:rPr>
                <w:rFonts w:ascii="宋体"/>
                <w:szCs w:val="21"/>
              </w:rPr>
            </w:pPr>
            <w:r>
              <w:rPr>
                <w:rFonts w:hint="eastAsia" w:ascii="宋体"/>
                <w:szCs w:val="21"/>
              </w:rPr>
              <w:t>中级</w:t>
            </w:r>
          </w:p>
        </w:tc>
        <w:tc>
          <w:tcPr>
            <w:tcW w:w="709" w:type="dxa"/>
            <w:gridSpan w:val="2"/>
            <w:tcBorders>
              <w:top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学士</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英语教育</w:t>
            </w: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p>
        </w:tc>
        <w:tc>
          <w:tcPr>
            <w:tcW w:w="2026" w:type="dxa"/>
            <w:gridSpan w:val="2"/>
            <w:tcBorders>
              <w:top w:val="single" w:color="auto" w:sz="6" w:space="0"/>
              <w:left w:val="single" w:color="auto" w:sz="6" w:space="0"/>
              <w:bottom w:val="single" w:color="auto" w:sz="6" w:space="0"/>
            </w:tcBorders>
            <w:vAlign w:val="center"/>
          </w:tcPr>
          <w:p>
            <w:pPr>
              <w:jc w:val="center"/>
              <w:rPr>
                <w:rFonts w:ascii="宋体"/>
                <w:szCs w:val="21"/>
              </w:rPr>
            </w:pPr>
            <w:r>
              <w:rPr>
                <w:rFonts w:hint="eastAsia" w:ascii="宋体" w:hAnsi="宋体"/>
                <w:szCs w:val="21"/>
              </w:rPr>
              <w:t>湖南电子科技职业学院</w:t>
            </w:r>
          </w:p>
        </w:tc>
        <w:tc>
          <w:tcPr>
            <w:tcW w:w="2862" w:type="dxa"/>
            <w:gridSpan w:val="2"/>
            <w:tcBorders>
              <w:top w:val="single" w:color="auto" w:sz="6" w:space="0"/>
              <w:bottom w:val="single" w:color="auto" w:sz="6" w:space="0"/>
              <w:right w:val="single" w:color="auto" w:sz="12" w:space="0"/>
            </w:tcBorders>
            <w:vAlign w:val="center"/>
          </w:tcPr>
          <w:p>
            <w:pPr>
              <w:jc w:val="center"/>
              <w:rPr>
                <w:rFonts w:ascii="宋体" w:hAnsi="宋体"/>
                <w:szCs w:val="21"/>
              </w:rPr>
            </w:pPr>
            <w:r>
              <w:rPr>
                <w:rFonts w:ascii="宋体" w:hAnsi="宋体"/>
                <w:szCs w:val="21"/>
              </w:rPr>
              <w:t>431228198211281426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张琴</w:t>
            </w:r>
          </w:p>
        </w:tc>
        <w:tc>
          <w:tcPr>
            <w:tcW w:w="1033" w:type="dxa"/>
            <w:tcBorders>
              <w:top w:val="nil"/>
              <w:left w:val="single" w:color="auto" w:sz="6" w:space="0"/>
              <w:bottom w:val="single" w:color="auto" w:sz="6" w:space="0"/>
            </w:tcBorders>
            <w:vAlign w:val="center"/>
          </w:tcPr>
          <w:p>
            <w:pPr>
              <w:jc w:val="center"/>
              <w:rPr>
                <w:rFonts w:ascii="宋体"/>
                <w:szCs w:val="21"/>
              </w:rPr>
            </w:pPr>
            <w:r>
              <w:rPr>
                <w:rFonts w:hint="eastAsia" w:ascii="宋体" w:hAnsi="宋体"/>
                <w:szCs w:val="21"/>
              </w:rPr>
              <w:t>初级</w:t>
            </w:r>
          </w:p>
        </w:tc>
        <w:tc>
          <w:tcPr>
            <w:tcW w:w="709" w:type="dxa"/>
            <w:gridSpan w:val="2"/>
            <w:tcBorders>
              <w:top w:val="nil"/>
              <w:bottom w:val="single" w:color="auto" w:sz="6" w:space="0"/>
              <w:right w:val="single" w:color="auto" w:sz="6" w:space="0"/>
            </w:tcBorders>
            <w:vAlign w:val="center"/>
          </w:tcPr>
          <w:p>
            <w:pPr>
              <w:jc w:val="center"/>
              <w:rPr>
                <w:rFonts w:ascii="宋体"/>
                <w:szCs w:val="21"/>
              </w:rPr>
            </w:pPr>
            <w:r>
              <w:rPr>
                <w:rFonts w:hint="eastAsia" w:ascii="宋体" w:hAnsi="宋体"/>
                <w:szCs w:val="21"/>
              </w:rPr>
              <w:t>本科</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工商管理</w:t>
            </w: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p>
        </w:tc>
        <w:tc>
          <w:tcPr>
            <w:tcW w:w="2026" w:type="dxa"/>
            <w:gridSpan w:val="2"/>
            <w:tcBorders>
              <w:top w:val="single" w:color="auto" w:sz="6" w:space="0"/>
              <w:left w:val="single" w:color="auto" w:sz="6" w:space="0"/>
              <w:bottom w:val="single" w:color="auto" w:sz="6" w:space="0"/>
            </w:tcBorders>
            <w:vAlign w:val="center"/>
          </w:tcPr>
          <w:p>
            <w:pPr>
              <w:jc w:val="center"/>
              <w:rPr>
                <w:rFonts w:ascii="宋体"/>
                <w:szCs w:val="21"/>
              </w:rPr>
            </w:pPr>
            <w:r>
              <w:rPr>
                <w:rFonts w:hint="eastAsia" w:ascii="宋体" w:hAnsi="宋体"/>
                <w:szCs w:val="21"/>
              </w:rPr>
              <w:t>湖南电子科技职业学院</w:t>
            </w:r>
          </w:p>
        </w:tc>
        <w:tc>
          <w:tcPr>
            <w:tcW w:w="2862" w:type="dxa"/>
            <w:gridSpan w:val="2"/>
            <w:tcBorders>
              <w:top w:val="single" w:color="auto" w:sz="6" w:space="0"/>
              <w:bottom w:val="single" w:color="auto" w:sz="6" w:space="0"/>
              <w:right w:val="single" w:color="auto" w:sz="12" w:space="0"/>
            </w:tcBorders>
            <w:vAlign w:val="center"/>
          </w:tcPr>
          <w:p>
            <w:pPr>
              <w:jc w:val="center"/>
              <w:rPr>
                <w:rFonts w:ascii="宋体" w:hAnsi="宋体"/>
                <w:szCs w:val="21"/>
              </w:rPr>
            </w:pPr>
            <w:r>
              <w:rPr>
                <w:rFonts w:ascii="宋体" w:hAnsi="宋体"/>
                <w:szCs w:val="21"/>
              </w:rPr>
              <w:t>430821199504012248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刘钰洁</w:t>
            </w:r>
          </w:p>
        </w:tc>
        <w:tc>
          <w:tcPr>
            <w:tcW w:w="1033" w:type="dxa"/>
            <w:tcBorders>
              <w:top w:val="single" w:color="auto" w:sz="6" w:space="0"/>
              <w:left w:val="single" w:color="auto" w:sz="6" w:space="0"/>
              <w:bottom w:val="single" w:color="auto" w:sz="6" w:space="0"/>
            </w:tcBorders>
            <w:vAlign w:val="center"/>
          </w:tcPr>
          <w:p>
            <w:pPr>
              <w:jc w:val="center"/>
              <w:rPr>
                <w:rFonts w:ascii="宋体"/>
                <w:szCs w:val="21"/>
              </w:rPr>
            </w:pPr>
            <w:r>
              <w:rPr>
                <w:rFonts w:hint="eastAsia" w:ascii="宋体" w:hAnsi="宋体"/>
                <w:szCs w:val="21"/>
              </w:rPr>
              <w:t>初级</w:t>
            </w:r>
          </w:p>
        </w:tc>
        <w:tc>
          <w:tcPr>
            <w:tcW w:w="709" w:type="dxa"/>
            <w:gridSpan w:val="2"/>
            <w:tcBorders>
              <w:top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本科</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体育教育</w:t>
            </w: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p>
        </w:tc>
        <w:tc>
          <w:tcPr>
            <w:tcW w:w="2026" w:type="dxa"/>
            <w:gridSpan w:val="2"/>
            <w:tcBorders>
              <w:top w:val="single" w:color="auto" w:sz="6" w:space="0"/>
              <w:left w:val="single" w:color="auto" w:sz="6" w:space="0"/>
              <w:bottom w:val="single" w:color="auto" w:sz="6" w:space="0"/>
            </w:tcBorders>
            <w:vAlign w:val="center"/>
          </w:tcPr>
          <w:p>
            <w:pPr>
              <w:jc w:val="center"/>
              <w:rPr>
                <w:rFonts w:ascii="宋体"/>
                <w:szCs w:val="21"/>
              </w:rPr>
            </w:pPr>
            <w:r>
              <w:rPr>
                <w:rFonts w:hint="eastAsia" w:ascii="宋体" w:hAnsi="宋体"/>
                <w:szCs w:val="21"/>
              </w:rPr>
              <w:t>湖南电子科技职业学院</w:t>
            </w:r>
          </w:p>
        </w:tc>
        <w:tc>
          <w:tcPr>
            <w:tcW w:w="2862" w:type="dxa"/>
            <w:gridSpan w:val="2"/>
            <w:tcBorders>
              <w:top w:val="single" w:color="auto" w:sz="6" w:space="0"/>
              <w:bottom w:val="single" w:color="auto" w:sz="6" w:space="0"/>
              <w:right w:val="single" w:color="auto" w:sz="12" w:space="0"/>
            </w:tcBorders>
            <w:vAlign w:val="center"/>
          </w:tcPr>
          <w:p>
            <w:pPr>
              <w:jc w:val="center"/>
              <w:rPr>
                <w:rFonts w:ascii="宋体" w:hAnsi="宋体"/>
                <w:szCs w:val="21"/>
              </w:rPr>
            </w:pPr>
            <w:r>
              <w:rPr>
                <w:rFonts w:ascii="宋体" w:hAnsi="宋体"/>
                <w:szCs w:val="21"/>
              </w:rPr>
              <w:t>43030219940715108X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朱菊香</w:t>
            </w:r>
          </w:p>
        </w:tc>
        <w:tc>
          <w:tcPr>
            <w:tcW w:w="1033" w:type="dxa"/>
            <w:tcBorders>
              <w:top w:val="single" w:color="auto" w:sz="6" w:space="0"/>
              <w:left w:val="single" w:color="auto" w:sz="6" w:space="0"/>
              <w:bottom w:val="single" w:color="auto" w:sz="6" w:space="0"/>
            </w:tcBorders>
            <w:vAlign w:val="center"/>
          </w:tcPr>
          <w:p>
            <w:pPr>
              <w:jc w:val="center"/>
              <w:rPr>
                <w:rFonts w:ascii="宋体"/>
                <w:szCs w:val="21"/>
              </w:rPr>
            </w:pPr>
            <w:r>
              <w:rPr>
                <w:rFonts w:hint="eastAsia" w:ascii="宋体" w:hAnsi="宋体"/>
                <w:szCs w:val="21"/>
              </w:rPr>
              <w:t>初级</w:t>
            </w:r>
          </w:p>
        </w:tc>
        <w:tc>
          <w:tcPr>
            <w:tcW w:w="709" w:type="dxa"/>
            <w:gridSpan w:val="2"/>
            <w:tcBorders>
              <w:top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本科</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hAnsi="宋体"/>
                <w:szCs w:val="21"/>
              </w:rPr>
              <w:t>人力资源管理</w:t>
            </w: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p>
        </w:tc>
        <w:tc>
          <w:tcPr>
            <w:tcW w:w="2026" w:type="dxa"/>
            <w:gridSpan w:val="2"/>
            <w:tcBorders>
              <w:top w:val="single" w:color="auto" w:sz="6" w:space="0"/>
              <w:left w:val="single" w:color="auto" w:sz="6" w:space="0"/>
              <w:bottom w:val="single" w:color="auto" w:sz="6" w:space="0"/>
            </w:tcBorders>
            <w:vAlign w:val="center"/>
          </w:tcPr>
          <w:p>
            <w:pPr>
              <w:jc w:val="center"/>
              <w:rPr>
                <w:rFonts w:ascii="宋体"/>
                <w:szCs w:val="21"/>
              </w:rPr>
            </w:pPr>
            <w:r>
              <w:rPr>
                <w:rFonts w:hint="eastAsia" w:ascii="宋体" w:hAnsi="宋体"/>
                <w:szCs w:val="21"/>
              </w:rPr>
              <w:t>湖南电子科技职业学院</w:t>
            </w:r>
          </w:p>
        </w:tc>
        <w:tc>
          <w:tcPr>
            <w:tcW w:w="2862" w:type="dxa"/>
            <w:gridSpan w:val="2"/>
            <w:tcBorders>
              <w:top w:val="single" w:color="auto" w:sz="6" w:space="0"/>
              <w:bottom w:val="single" w:color="auto" w:sz="6" w:space="0"/>
              <w:right w:val="single" w:color="auto" w:sz="12" w:space="0"/>
            </w:tcBorders>
            <w:vAlign w:val="center"/>
          </w:tcPr>
          <w:p>
            <w:pPr>
              <w:jc w:val="center"/>
              <w:rPr>
                <w:rFonts w:ascii="宋体" w:hAnsi="宋体"/>
                <w:szCs w:val="21"/>
              </w:rPr>
            </w:pPr>
            <w:r>
              <w:rPr>
                <w:rFonts w:ascii="宋体" w:hAnsi="宋体"/>
                <w:szCs w:val="21"/>
              </w:rPr>
              <w:t>431023198603254520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1033" w:type="dxa"/>
            <w:tcBorders>
              <w:top w:val="single" w:color="auto" w:sz="6" w:space="0"/>
              <w:left w:val="single" w:color="auto" w:sz="6" w:space="0"/>
              <w:bottom w:val="single" w:color="auto" w:sz="6" w:space="0"/>
            </w:tcBorders>
            <w:vAlign w:val="center"/>
          </w:tcPr>
          <w:p>
            <w:pPr>
              <w:rPr>
                <w:rFonts w:ascii="宋体"/>
                <w:sz w:val="28"/>
                <w:szCs w:val="28"/>
              </w:rPr>
            </w:pPr>
          </w:p>
        </w:tc>
        <w:tc>
          <w:tcPr>
            <w:tcW w:w="709" w:type="dxa"/>
            <w:gridSpan w:val="2"/>
            <w:tcBorders>
              <w:top w:val="single" w:color="auto" w:sz="6" w:space="0"/>
              <w:bottom w:val="single" w:color="auto" w:sz="6" w:space="0"/>
              <w:right w:val="single" w:color="auto" w:sz="6" w:space="0"/>
            </w:tcBorders>
            <w:vAlign w:val="center"/>
          </w:tcPr>
          <w:p>
            <w:pPr>
              <w:rPr>
                <w:rFonts w:ascii="宋体"/>
                <w:sz w:val="28"/>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2026" w:type="dxa"/>
            <w:gridSpan w:val="2"/>
            <w:tcBorders>
              <w:top w:val="single" w:color="auto" w:sz="6" w:space="0"/>
              <w:left w:val="single" w:color="auto" w:sz="6" w:space="0"/>
              <w:bottom w:val="single" w:color="auto" w:sz="6" w:space="0"/>
            </w:tcBorders>
            <w:vAlign w:val="center"/>
          </w:tcPr>
          <w:p>
            <w:pPr>
              <w:rPr>
                <w:rFonts w:ascii="宋体"/>
                <w:sz w:val="28"/>
                <w:szCs w:val="28"/>
              </w:rPr>
            </w:pPr>
          </w:p>
        </w:tc>
        <w:tc>
          <w:tcPr>
            <w:tcW w:w="2862" w:type="dxa"/>
            <w:gridSpan w:val="2"/>
            <w:tcBorders>
              <w:top w:val="single" w:color="auto" w:sz="6" w:space="0"/>
              <w:bottom w:val="single" w:color="auto" w:sz="6" w:space="0"/>
              <w:right w:val="single" w:color="auto" w:sz="12" w:space="0"/>
            </w:tcBorders>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1033" w:type="dxa"/>
            <w:tcBorders>
              <w:top w:val="single" w:color="auto" w:sz="6" w:space="0"/>
              <w:left w:val="single" w:color="auto" w:sz="6" w:space="0"/>
              <w:bottom w:val="single" w:color="auto" w:sz="6" w:space="0"/>
            </w:tcBorders>
            <w:vAlign w:val="center"/>
          </w:tcPr>
          <w:p>
            <w:pPr>
              <w:rPr>
                <w:rFonts w:ascii="宋体"/>
                <w:sz w:val="28"/>
                <w:szCs w:val="28"/>
              </w:rPr>
            </w:pPr>
          </w:p>
        </w:tc>
        <w:tc>
          <w:tcPr>
            <w:tcW w:w="709" w:type="dxa"/>
            <w:gridSpan w:val="2"/>
            <w:tcBorders>
              <w:top w:val="single" w:color="auto" w:sz="6" w:space="0"/>
              <w:bottom w:val="single" w:color="auto" w:sz="6" w:space="0"/>
              <w:right w:val="single" w:color="auto" w:sz="6" w:space="0"/>
            </w:tcBorders>
            <w:vAlign w:val="center"/>
          </w:tcPr>
          <w:p>
            <w:pPr>
              <w:rPr>
                <w:rFonts w:ascii="宋体"/>
                <w:sz w:val="28"/>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2026" w:type="dxa"/>
            <w:gridSpan w:val="2"/>
            <w:tcBorders>
              <w:top w:val="single" w:color="auto" w:sz="6" w:space="0"/>
              <w:left w:val="single" w:color="auto" w:sz="6" w:space="0"/>
              <w:bottom w:val="single" w:color="auto" w:sz="6" w:space="0"/>
            </w:tcBorders>
            <w:vAlign w:val="center"/>
          </w:tcPr>
          <w:p>
            <w:pPr>
              <w:rPr>
                <w:rFonts w:ascii="宋体"/>
                <w:sz w:val="28"/>
                <w:szCs w:val="28"/>
              </w:rPr>
            </w:pPr>
          </w:p>
        </w:tc>
        <w:tc>
          <w:tcPr>
            <w:tcW w:w="2862" w:type="dxa"/>
            <w:gridSpan w:val="2"/>
            <w:tcBorders>
              <w:top w:val="single" w:color="auto" w:sz="6" w:space="0"/>
              <w:bottom w:val="single" w:color="auto" w:sz="6" w:space="0"/>
              <w:right w:val="single" w:color="auto" w:sz="12" w:space="0"/>
            </w:tcBorders>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1033" w:type="dxa"/>
            <w:tcBorders>
              <w:top w:val="single" w:color="auto" w:sz="6" w:space="0"/>
              <w:left w:val="single" w:color="auto" w:sz="6" w:space="0"/>
              <w:bottom w:val="single" w:color="auto" w:sz="6" w:space="0"/>
            </w:tcBorders>
            <w:vAlign w:val="center"/>
          </w:tcPr>
          <w:p>
            <w:pPr>
              <w:rPr>
                <w:rFonts w:ascii="宋体"/>
                <w:sz w:val="28"/>
                <w:szCs w:val="28"/>
              </w:rPr>
            </w:pPr>
          </w:p>
        </w:tc>
        <w:tc>
          <w:tcPr>
            <w:tcW w:w="709" w:type="dxa"/>
            <w:gridSpan w:val="2"/>
            <w:tcBorders>
              <w:top w:val="single" w:color="auto" w:sz="6" w:space="0"/>
              <w:bottom w:val="single" w:color="auto" w:sz="6" w:space="0"/>
              <w:right w:val="single" w:color="auto" w:sz="6" w:space="0"/>
            </w:tcBorders>
            <w:vAlign w:val="center"/>
          </w:tcPr>
          <w:p>
            <w:pPr>
              <w:rPr>
                <w:rFonts w:ascii="宋体"/>
                <w:sz w:val="28"/>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2026" w:type="dxa"/>
            <w:gridSpan w:val="2"/>
            <w:tcBorders>
              <w:top w:val="single" w:color="auto" w:sz="6" w:space="0"/>
              <w:left w:val="single" w:color="auto" w:sz="6" w:space="0"/>
              <w:bottom w:val="single" w:color="auto" w:sz="6" w:space="0"/>
            </w:tcBorders>
            <w:vAlign w:val="center"/>
          </w:tcPr>
          <w:p>
            <w:pPr>
              <w:rPr>
                <w:rFonts w:ascii="宋体"/>
                <w:sz w:val="28"/>
                <w:szCs w:val="28"/>
              </w:rPr>
            </w:pPr>
          </w:p>
        </w:tc>
        <w:tc>
          <w:tcPr>
            <w:tcW w:w="2862" w:type="dxa"/>
            <w:gridSpan w:val="2"/>
            <w:tcBorders>
              <w:top w:val="single" w:color="auto" w:sz="6" w:space="0"/>
              <w:bottom w:val="single" w:color="auto" w:sz="6" w:space="0"/>
              <w:right w:val="single" w:color="auto" w:sz="12" w:space="0"/>
            </w:tcBorders>
            <w:vAlign w:val="center"/>
          </w:tcPr>
          <w:p>
            <w:pPr>
              <w:rPr>
                <w:rFonts w:ascii="宋体"/>
                <w:sz w:val="28"/>
                <w:szCs w:val="28"/>
              </w:rPr>
            </w:pPr>
          </w:p>
        </w:tc>
      </w:tr>
    </w:tbl>
    <w:p>
      <w:pPr>
        <w:spacing w:line="340" w:lineRule="exact"/>
        <w:rPr>
          <w:rFonts w:eastAsia="黑体" w:cs="黑体"/>
          <w:b/>
          <w:bCs/>
          <w:sz w:val="28"/>
          <w:szCs w:val="28"/>
        </w:rPr>
      </w:pPr>
    </w:p>
    <w:p>
      <w:pPr>
        <w:widowControl/>
        <w:jc w:val="left"/>
        <w:rPr>
          <w:rFonts w:eastAsia="黑体" w:cs="黑体"/>
          <w:b/>
          <w:bCs/>
          <w:sz w:val="28"/>
          <w:szCs w:val="28"/>
        </w:rPr>
      </w:pPr>
      <w:r>
        <w:rPr>
          <w:rFonts w:eastAsia="黑体" w:cs="黑体"/>
          <w:b/>
          <w:bCs/>
          <w:sz w:val="28"/>
          <w:szCs w:val="28"/>
        </w:rPr>
        <w:br w:type="page"/>
      </w:r>
    </w:p>
    <w:p>
      <w:pPr>
        <w:spacing w:line="340" w:lineRule="exact"/>
        <w:rPr>
          <w:rFonts w:eastAsia="黑体" w:cs="黑体"/>
          <w:b/>
          <w:bCs/>
          <w:sz w:val="28"/>
          <w:szCs w:val="28"/>
        </w:rPr>
      </w:pPr>
    </w:p>
    <w:p>
      <w:pPr>
        <w:spacing w:line="340" w:lineRule="exact"/>
        <w:rPr>
          <w:rFonts w:eastAsia="黑体"/>
          <w:b/>
          <w:bCs/>
          <w:sz w:val="18"/>
          <w:szCs w:val="18"/>
        </w:rPr>
      </w:pPr>
      <w:r>
        <w:rPr>
          <w:rFonts w:hint="eastAsia" w:eastAsia="黑体" w:cs="黑体"/>
          <w:b/>
          <w:bCs/>
          <w:sz w:val="28"/>
          <w:szCs w:val="28"/>
        </w:rPr>
        <w:t>二、立论依据</w:t>
      </w:r>
    </w:p>
    <w:p>
      <w:r>
        <w:t xml:space="preserve">  </w:t>
      </w:r>
      <w:r>
        <w:rPr>
          <w:rFonts w:hint="eastAsia"/>
        </w:rPr>
        <w:t>（包括项目的研究意义、国内外研究现状分析）</w:t>
      </w:r>
      <w: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1" w:type="dxa"/>
          </w:tcPr>
          <w:p>
            <w:pPr>
              <w:tabs>
                <w:tab w:val="left" w:pos="2107"/>
              </w:tabs>
              <w:spacing w:line="360" w:lineRule="auto"/>
              <w:ind w:firstLine="482" w:firstLineChars="200"/>
              <w:rPr>
                <w:rFonts w:ascii="宋体" w:hAnsi="宋体"/>
                <w:b/>
                <w:sz w:val="24"/>
                <w:szCs w:val="24"/>
              </w:rPr>
            </w:pPr>
            <w:r>
              <w:rPr>
                <w:rFonts w:hint="eastAsia" w:ascii="宋体" w:hAnsi="宋体"/>
                <w:b/>
                <w:sz w:val="24"/>
                <w:szCs w:val="24"/>
              </w:rPr>
              <w:t>（一）问题的提出</w:t>
            </w:r>
          </w:p>
          <w:p>
            <w:pPr>
              <w:tabs>
                <w:tab w:val="left" w:pos="2107"/>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近年来</w:t>
            </w:r>
            <w:r>
              <w:rPr>
                <w:rFonts w:asciiTheme="minorEastAsia" w:hAnsiTheme="minorEastAsia" w:eastAsiaTheme="minorEastAsia"/>
                <w:sz w:val="24"/>
                <w:szCs w:val="24"/>
              </w:rPr>
              <w:t>,</w:t>
            </w:r>
            <w:r>
              <w:rPr>
                <w:rFonts w:hint="eastAsia" w:asciiTheme="minorEastAsia" w:hAnsiTheme="minorEastAsia" w:eastAsiaTheme="minorEastAsia"/>
                <w:sz w:val="24"/>
                <w:szCs w:val="24"/>
              </w:rPr>
              <w:t>随着中国国家市场经济的不断迅猛发展</w:t>
            </w:r>
            <w:r>
              <w:rPr>
                <w:rFonts w:asciiTheme="minorEastAsia" w:hAnsiTheme="minorEastAsia" w:eastAsiaTheme="minorEastAsia"/>
                <w:sz w:val="24"/>
                <w:szCs w:val="24"/>
              </w:rPr>
              <w:t>,</w:t>
            </w:r>
            <w:r>
              <w:rPr>
                <w:rFonts w:hint="eastAsia" w:asciiTheme="minorEastAsia" w:hAnsiTheme="minorEastAsia" w:eastAsiaTheme="minorEastAsia"/>
                <w:sz w:val="24"/>
                <w:szCs w:val="24"/>
              </w:rPr>
              <w:t>高等学校每年招生人数规模的持续不断扩大、高校教育收费体制改革的不断深入、高等教育教学收费管理水平的不断稳步提高</w:t>
            </w:r>
            <w:r>
              <w:rPr>
                <w:rFonts w:asciiTheme="minorEastAsia" w:hAnsiTheme="minorEastAsia" w:eastAsiaTheme="minorEastAsia"/>
                <w:sz w:val="24"/>
                <w:szCs w:val="24"/>
              </w:rPr>
              <w:t>,</w:t>
            </w:r>
            <w:r>
              <w:rPr>
                <w:rFonts w:hint="eastAsia" w:asciiTheme="minorEastAsia" w:hAnsiTheme="minorEastAsia" w:eastAsiaTheme="minorEastAsia"/>
                <w:sz w:val="24"/>
                <w:szCs w:val="24"/>
              </w:rPr>
              <w:t>在中国高等教育由传统精英教育需要向现代大众化优质教育模式转变的同时</w:t>
            </w:r>
            <w:r>
              <w:rPr>
                <w:rFonts w:asciiTheme="minorEastAsia" w:hAnsiTheme="minorEastAsia" w:eastAsiaTheme="minorEastAsia"/>
                <w:sz w:val="24"/>
                <w:szCs w:val="24"/>
              </w:rPr>
              <w:t>,</w:t>
            </w:r>
            <w:r>
              <w:rPr>
                <w:rFonts w:hint="eastAsia" w:asciiTheme="minorEastAsia" w:hAnsiTheme="minorEastAsia" w:eastAsiaTheme="minorEastAsia"/>
                <w:sz w:val="24"/>
                <w:szCs w:val="24"/>
              </w:rPr>
              <w:t>中国家庭收入经济困难高校学生的培养规模越来越大</w:t>
            </w:r>
            <w:r>
              <w:rPr>
                <w:rFonts w:asciiTheme="minorEastAsia" w:hAnsiTheme="minorEastAsia" w:eastAsiaTheme="minorEastAsia"/>
                <w:sz w:val="24"/>
                <w:szCs w:val="24"/>
              </w:rPr>
              <w:t>,</w:t>
            </w:r>
            <w:r>
              <w:rPr>
                <w:rFonts w:hint="eastAsia" w:asciiTheme="minorEastAsia" w:hAnsiTheme="minorEastAsia" w:eastAsiaTheme="minorEastAsia"/>
                <w:sz w:val="24"/>
                <w:szCs w:val="24"/>
              </w:rPr>
              <w:t>高校学生生活资助困难问题早已发展成为中国高校普遍密切关注的一个热点问题。多年来</w:t>
            </w:r>
            <w:r>
              <w:rPr>
                <w:rFonts w:asciiTheme="minorEastAsia" w:hAnsiTheme="minorEastAsia" w:eastAsiaTheme="minorEastAsia"/>
                <w:sz w:val="24"/>
                <w:szCs w:val="24"/>
              </w:rPr>
              <w:t>,</w:t>
            </w:r>
            <w:r>
              <w:rPr>
                <w:rFonts w:hint="eastAsia" w:asciiTheme="minorEastAsia" w:hAnsiTheme="minorEastAsia" w:eastAsiaTheme="minorEastAsia"/>
                <w:sz w:val="24"/>
                <w:szCs w:val="24"/>
              </w:rPr>
              <w:t>为切实有效解决高校学生家庭日常经济困难和大学生就业资助待遇难题</w:t>
            </w:r>
            <w:r>
              <w:rPr>
                <w:rFonts w:asciiTheme="minorEastAsia" w:hAnsiTheme="minorEastAsia" w:eastAsiaTheme="minorEastAsia"/>
                <w:sz w:val="24"/>
                <w:szCs w:val="24"/>
              </w:rPr>
              <w:t>,</w:t>
            </w:r>
            <w:r>
              <w:rPr>
                <w:rFonts w:hint="eastAsia" w:asciiTheme="minorEastAsia" w:hAnsiTheme="minorEastAsia" w:eastAsiaTheme="minorEastAsia"/>
                <w:sz w:val="24"/>
                <w:szCs w:val="24"/>
              </w:rPr>
              <w:t>国家及各级人民政府不断探索出台许多新的资助政策。在本专科生继续教育教学阶段</w:t>
            </w:r>
            <w:r>
              <w:rPr>
                <w:rFonts w:asciiTheme="minorEastAsia" w:hAnsiTheme="minorEastAsia" w:eastAsiaTheme="minorEastAsia"/>
                <w:sz w:val="24"/>
                <w:szCs w:val="24"/>
              </w:rPr>
              <w:t>,</w:t>
            </w:r>
            <w:r>
              <w:rPr>
                <w:rFonts w:hint="eastAsia" w:asciiTheme="minorEastAsia" w:hAnsiTheme="minorEastAsia" w:eastAsiaTheme="minorEastAsia"/>
                <w:sz w:val="24"/>
                <w:szCs w:val="24"/>
              </w:rPr>
              <w:t>建立了具有国家专项奖助学金、国家贷款助学学校贷款、学费资助补偿学校贷款学费代偿、校内专项奖助学金、勤工助学、困难学生补助、伙食管理补贴、学费补助减免、“绿色通道”等多种贷款方式的助学混合专项资助助学体系</w:t>
            </w:r>
            <w:r>
              <w:rPr>
                <w:rFonts w:asciiTheme="minorEastAsia" w:hAnsiTheme="minorEastAsia" w:eastAsiaTheme="minorEastAsia"/>
                <w:sz w:val="24"/>
                <w:szCs w:val="24"/>
              </w:rPr>
              <w:t>,</w:t>
            </w:r>
            <w:r>
              <w:rPr>
                <w:rFonts w:hint="eastAsia" w:asciiTheme="minorEastAsia" w:hAnsiTheme="minorEastAsia" w:eastAsiaTheme="minorEastAsia"/>
                <w:sz w:val="24"/>
                <w:szCs w:val="24"/>
              </w:rPr>
              <w:t>基本上做到了坚决不让一个大学生因自己家庭经济困难而意外失学，现在社会各界也纷纷伸出资助援手</w:t>
            </w:r>
            <w:r>
              <w:rPr>
                <w:rFonts w:asciiTheme="minorEastAsia" w:hAnsiTheme="minorEastAsia" w:eastAsiaTheme="minorEastAsia"/>
                <w:sz w:val="24"/>
                <w:szCs w:val="24"/>
              </w:rPr>
              <w:t>,</w:t>
            </w:r>
            <w:r>
              <w:rPr>
                <w:rFonts w:hint="eastAsia" w:asciiTheme="minorEastAsia" w:hAnsiTheme="minorEastAsia" w:eastAsiaTheme="minorEastAsia"/>
                <w:sz w:val="24"/>
                <w:szCs w:val="24"/>
              </w:rPr>
              <w:t>在高校内部设立专项资助奖学金、助学金等对贫困生予以资助，全国高校也在不同程度上作出努力</w:t>
            </w:r>
            <w:r>
              <w:rPr>
                <w:rFonts w:asciiTheme="minorEastAsia" w:hAnsiTheme="minorEastAsia" w:eastAsiaTheme="minorEastAsia"/>
                <w:sz w:val="24"/>
                <w:szCs w:val="24"/>
              </w:rPr>
              <w:t>,</w:t>
            </w:r>
            <w:r>
              <w:rPr>
                <w:rFonts w:hint="eastAsia" w:asciiTheme="minorEastAsia" w:hAnsiTheme="minorEastAsia" w:eastAsiaTheme="minorEastAsia"/>
                <w:sz w:val="24"/>
                <w:szCs w:val="24"/>
              </w:rPr>
              <w:t>尽力解决家庭经济困难学生资助问题。</w:t>
            </w:r>
            <w:r>
              <w:rPr>
                <w:rFonts w:asciiTheme="minorEastAsia" w:hAnsiTheme="minorEastAsia" w:eastAsiaTheme="minorEastAsia"/>
                <w:sz w:val="24"/>
                <w:szCs w:val="24"/>
              </w:rPr>
              <w:t xml:space="preserve">  </w:t>
            </w:r>
          </w:p>
          <w:p>
            <w:pPr>
              <w:tabs>
                <w:tab w:val="left" w:pos="2107"/>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而通过运用思政教育进课堂的教学模式促进高校学生资助项目管理效率提升，有助于让高校学生在思想上对学生资助管理工作流程有更清晰的的认识和准确把握</w:t>
            </w:r>
            <w:r>
              <w:rPr>
                <w:rFonts w:asciiTheme="minorEastAsia" w:hAnsiTheme="minorEastAsia" w:eastAsiaTheme="minorEastAsia"/>
                <w:sz w:val="24"/>
                <w:szCs w:val="24"/>
              </w:rPr>
              <w:t>,</w:t>
            </w:r>
            <w:r>
              <w:rPr>
                <w:rFonts w:hint="eastAsia" w:asciiTheme="minorEastAsia" w:hAnsiTheme="minorEastAsia" w:eastAsiaTheme="minorEastAsia"/>
                <w:sz w:val="24"/>
                <w:szCs w:val="24"/>
              </w:rPr>
              <w:t>真正做到帮助高校贫困学生更好地有效解决家庭经济困难。</w:t>
            </w:r>
          </w:p>
          <w:p>
            <w:pPr>
              <w:tabs>
                <w:tab w:val="left" w:pos="2107"/>
              </w:tabs>
              <w:spacing w:line="360" w:lineRule="auto"/>
              <w:ind w:firstLine="482" w:firstLineChars="200"/>
              <w:rPr>
                <w:rFonts w:ascii="宋体" w:hAnsi="宋体"/>
                <w:b/>
                <w:sz w:val="24"/>
                <w:szCs w:val="24"/>
              </w:rPr>
            </w:pPr>
            <w:r>
              <w:rPr>
                <w:rFonts w:hint="eastAsia" w:ascii="宋体" w:hAnsi="宋体"/>
                <w:b/>
                <w:sz w:val="24"/>
                <w:szCs w:val="24"/>
              </w:rPr>
              <w:t>（二）研究意义</w:t>
            </w:r>
          </w:p>
          <w:p>
            <w:pPr>
              <w:tabs>
                <w:tab w:val="left" w:pos="2107"/>
              </w:tabs>
              <w:spacing w:line="360" w:lineRule="auto"/>
              <w:ind w:firstLine="482" w:firstLineChars="200"/>
              <w:rPr>
                <w:rFonts w:ascii="宋体" w:hAnsi="宋体"/>
                <w:b/>
                <w:sz w:val="24"/>
                <w:szCs w:val="24"/>
              </w:rPr>
            </w:pPr>
            <w:r>
              <w:rPr>
                <w:rFonts w:ascii="宋体" w:hAnsi="宋体"/>
                <w:b/>
                <w:sz w:val="24"/>
                <w:szCs w:val="24"/>
              </w:rPr>
              <w:t>1</w:t>
            </w:r>
            <w:r>
              <w:rPr>
                <w:rFonts w:hint="eastAsia" w:ascii="宋体" w:hAnsi="宋体"/>
                <w:b/>
                <w:sz w:val="24"/>
                <w:szCs w:val="24"/>
              </w:rPr>
              <w:t>、学术价值</w:t>
            </w:r>
          </w:p>
          <w:p>
            <w:pPr>
              <w:tabs>
                <w:tab w:val="left" w:pos="2107"/>
              </w:tabs>
              <w:spacing w:line="360" w:lineRule="auto"/>
              <w:ind w:firstLine="480" w:firstLineChars="200"/>
              <w:rPr>
                <w:rFonts w:ascii="宋体" w:hAnsi="宋体"/>
                <w:sz w:val="24"/>
                <w:szCs w:val="24"/>
              </w:rPr>
            </w:pPr>
            <w:r>
              <w:rPr>
                <w:rFonts w:hint="eastAsia" w:ascii="宋体" w:hAnsi="宋体"/>
                <w:sz w:val="24"/>
                <w:szCs w:val="24"/>
              </w:rPr>
              <w:t>国家对高校学生资助管理方面的研究给予了越来越高的关注，通过思政教育进课堂、进课程的教学模式促进学生资助管理工作效率改善的研究是非常重要的。高校思政教育进课堂一直备受党和国家及学者们的关注，通过多年来的不断研究，此项理论研究己经取得了丰硕的成果。但在新的社会发展条件下，社会对大学生的思想政治素养提出了更高的标准，这就要求各高校在引导大学生成人成才中必须利用课堂的思想政治教育发挥出更大的作用。本文以实证调查为基础，通过分析实证资料，总结出大学生在对思政教育进课堂、进课程的认同中存在的问题，进而分析出造成这些问题的原因，根据原因提出有针对性的解决措施，对真正推行思政教育的理论建设具有一定的推进作用。</w:t>
            </w:r>
          </w:p>
          <w:p>
            <w:pPr>
              <w:tabs>
                <w:tab w:val="left" w:pos="2107"/>
              </w:tabs>
              <w:spacing w:line="360" w:lineRule="auto"/>
              <w:ind w:firstLine="482" w:firstLineChars="200"/>
              <w:rPr>
                <w:rFonts w:ascii="宋体" w:hAnsi="宋体"/>
                <w:b/>
                <w:sz w:val="24"/>
                <w:szCs w:val="24"/>
              </w:rPr>
            </w:pPr>
            <w:r>
              <w:rPr>
                <w:rFonts w:ascii="宋体" w:hAnsi="宋体"/>
                <w:b/>
                <w:sz w:val="24"/>
                <w:szCs w:val="24"/>
              </w:rPr>
              <w:t>2</w:t>
            </w:r>
            <w:r>
              <w:rPr>
                <w:rFonts w:hint="eastAsia" w:ascii="宋体" w:hAnsi="宋体"/>
                <w:b/>
                <w:sz w:val="24"/>
                <w:szCs w:val="24"/>
              </w:rPr>
              <w:t>、应用价值</w:t>
            </w:r>
          </w:p>
          <w:p>
            <w:pPr>
              <w:tabs>
                <w:tab w:val="left" w:pos="2107"/>
              </w:tabs>
              <w:spacing w:line="360" w:lineRule="auto"/>
              <w:ind w:firstLine="480" w:firstLineChars="200"/>
              <w:rPr>
                <w:rFonts w:ascii="宋体" w:hAnsi="宋体"/>
                <w:sz w:val="24"/>
                <w:szCs w:val="24"/>
              </w:rPr>
            </w:pPr>
            <w:r>
              <w:rPr>
                <w:rFonts w:hint="eastAsia" w:ascii="宋体" w:hAnsi="宋体"/>
                <w:sz w:val="24"/>
                <w:szCs w:val="24"/>
              </w:rPr>
              <w:t>高校党的思想路线政治工作理论教育课程不仅是高校对普通大学生群众进行党的思想路线政治理论教育的重要主渠道</w:t>
            </w:r>
            <w:r>
              <w:rPr>
                <w:rFonts w:ascii="宋体" w:hAnsi="宋体"/>
                <w:sz w:val="24"/>
                <w:szCs w:val="24"/>
              </w:rPr>
              <w:t>,</w:t>
            </w:r>
            <w:r>
              <w:rPr>
                <w:rFonts w:hint="eastAsia" w:ascii="宋体" w:hAnsi="宋体"/>
                <w:sz w:val="24"/>
                <w:szCs w:val="24"/>
              </w:rPr>
              <w:t>也是树立坚定的思想政治信仰和不断提升政治能力的重要核心素养课程。作为祖国建设的主力军，他们综合素质的高低、能力的强弱直接影响着中国特色高等社会主义教育事业的发展成败。有鉴于此，课题组在基于高校学生资助管理效率改善的思政教育进课堂教学模式改革策略的实施情况中进行了实地考察，在对相关问题进行分析的基础上，总结出了如何通过思政教育进课堂、进课程教学模式改革促进高校学生资助管理效率改善的方案，对于促进高校在实现学生管理质量改善方面有很重要的指导意义。</w:t>
            </w:r>
          </w:p>
          <w:p>
            <w:pPr>
              <w:tabs>
                <w:tab w:val="left" w:pos="2107"/>
              </w:tabs>
              <w:spacing w:line="360" w:lineRule="auto"/>
              <w:ind w:firstLine="482" w:firstLineChars="200"/>
              <w:rPr>
                <w:rFonts w:ascii="宋体" w:hAnsi="宋体"/>
                <w:b/>
                <w:sz w:val="24"/>
                <w:szCs w:val="24"/>
              </w:rPr>
            </w:pPr>
            <w:r>
              <w:rPr>
                <w:rFonts w:hint="eastAsia" w:ascii="宋体" w:hAnsi="宋体"/>
                <w:b/>
                <w:sz w:val="24"/>
                <w:szCs w:val="24"/>
              </w:rPr>
              <w:t>（三）国内外研究现状分析</w:t>
            </w:r>
          </w:p>
          <w:p>
            <w:pPr>
              <w:tabs>
                <w:tab w:val="left" w:pos="2107"/>
              </w:tabs>
              <w:spacing w:line="360" w:lineRule="auto"/>
              <w:ind w:firstLine="482" w:firstLineChars="200"/>
              <w:rPr>
                <w:rFonts w:ascii="宋体" w:hAnsi="宋体"/>
                <w:b/>
                <w:sz w:val="24"/>
                <w:szCs w:val="24"/>
              </w:rPr>
            </w:pPr>
            <w:r>
              <w:rPr>
                <w:rFonts w:ascii="宋体" w:hAnsi="宋体"/>
                <w:b/>
                <w:sz w:val="24"/>
                <w:szCs w:val="24"/>
              </w:rPr>
              <w:t>1</w:t>
            </w:r>
            <w:r>
              <w:rPr>
                <w:rFonts w:hint="eastAsia" w:ascii="宋体" w:hAnsi="宋体"/>
                <w:b/>
                <w:sz w:val="24"/>
                <w:szCs w:val="24"/>
              </w:rPr>
              <w:t>、国内研究现状</w:t>
            </w:r>
          </w:p>
          <w:p>
            <w:pPr>
              <w:tabs>
                <w:tab w:val="left" w:pos="2107"/>
              </w:tabs>
              <w:spacing w:line="360" w:lineRule="auto"/>
              <w:ind w:firstLine="480" w:firstLineChars="200"/>
              <w:rPr>
                <w:rFonts w:hAnsi="宋体"/>
                <w:sz w:val="24"/>
                <w:szCs w:val="24"/>
              </w:rPr>
            </w:pPr>
            <w:r>
              <w:rPr>
                <w:rFonts w:hint="eastAsia" w:ascii="宋体" w:hAnsi="宋体"/>
                <w:sz w:val="24"/>
                <w:szCs w:val="24"/>
              </w:rPr>
              <w:t>中国国内对于高校资助管理研究的历史较短</w:t>
            </w:r>
            <w:r>
              <w:rPr>
                <w:rFonts w:ascii="宋体" w:hAnsi="宋体"/>
                <w:sz w:val="24"/>
                <w:szCs w:val="24"/>
              </w:rPr>
              <w:t>,</w:t>
            </w:r>
            <w:r>
              <w:rPr>
                <w:rFonts w:hint="eastAsia" w:ascii="宋体" w:hAnsi="宋体"/>
                <w:sz w:val="24"/>
                <w:szCs w:val="24"/>
              </w:rPr>
              <w:t>但经过几十年的不断完善</w:t>
            </w:r>
            <w:r>
              <w:rPr>
                <w:rFonts w:ascii="宋体" w:hAnsi="宋体"/>
                <w:sz w:val="24"/>
                <w:szCs w:val="24"/>
              </w:rPr>
              <w:t>,</w:t>
            </w:r>
            <w:r>
              <w:rPr>
                <w:rFonts w:hint="eastAsia" w:ascii="宋体" w:hAnsi="宋体"/>
                <w:sz w:val="24"/>
                <w:szCs w:val="24"/>
              </w:rPr>
              <w:t>中国己确立了“奖、贷、助、补、减”为主体的多元化资助体系。目前</w:t>
            </w:r>
            <w:r>
              <w:rPr>
                <w:rFonts w:ascii="宋体" w:hAnsi="宋体"/>
                <w:sz w:val="24"/>
                <w:szCs w:val="24"/>
              </w:rPr>
              <w:t>,</w:t>
            </w:r>
            <w:r>
              <w:rPr>
                <w:rFonts w:hint="eastAsia" w:ascii="宋体" w:hAnsi="宋体"/>
                <w:sz w:val="24"/>
                <w:szCs w:val="24"/>
              </w:rPr>
              <w:t>关于高校学生资助管理的研究大都基于寻找问题和提出对策的框架中</w:t>
            </w:r>
            <w:r>
              <w:rPr>
                <w:rFonts w:ascii="宋体" w:hAnsi="宋体"/>
                <w:sz w:val="24"/>
                <w:szCs w:val="24"/>
              </w:rPr>
              <w:t>,</w:t>
            </w:r>
            <w:r>
              <w:rPr>
                <w:rFonts w:hint="eastAsia" w:ascii="宋体" w:hAnsi="宋体"/>
                <w:sz w:val="24"/>
                <w:szCs w:val="24"/>
              </w:rPr>
              <w:t>国内学者也做出了非常广泛的研究</w:t>
            </w:r>
            <w:r>
              <w:rPr>
                <w:rFonts w:ascii="宋体" w:hAnsi="宋体"/>
                <w:sz w:val="24"/>
                <w:szCs w:val="24"/>
              </w:rPr>
              <w:t>,</w:t>
            </w:r>
            <w:r>
              <w:rPr>
                <w:rFonts w:hint="eastAsia" w:ascii="宋体" w:hAnsi="宋体"/>
                <w:sz w:val="24"/>
                <w:szCs w:val="24"/>
              </w:rPr>
              <w:t>具体来说如下：</w:t>
            </w:r>
          </w:p>
          <w:p>
            <w:pPr>
              <w:tabs>
                <w:tab w:val="left" w:pos="2107"/>
              </w:tabs>
              <w:spacing w:line="360" w:lineRule="auto"/>
              <w:ind w:firstLine="480" w:firstLineChars="200"/>
              <w:rPr>
                <w:rFonts w:ascii="宋体" w:hAnsi="宋体"/>
                <w:sz w:val="24"/>
                <w:szCs w:val="24"/>
              </w:rPr>
            </w:pPr>
            <w:r>
              <w:rPr>
                <w:rFonts w:hint="eastAsia"/>
                <w:sz w:val="24"/>
                <w:szCs w:val="24"/>
              </w:rPr>
              <w:t>刘飞的《高等教育资助政策满意度及优化策略</w:t>
            </w:r>
            <w:r>
              <w:rPr>
                <w:sz w:val="24"/>
                <w:szCs w:val="24"/>
              </w:rPr>
              <w:t>——</w:t>
            </w:r>
            <w:r>
              <w:rPr>
                <w:rFonts w:hint="eastAsia"/>
                <w:sz w:val="24"/>
                <w:szCs w:val="24"/>
              </w:rPr>
              <w:t>基于北京高校经济困难学生的调查》</w:t>
            </w:r>
            <w:r>
              <w:rPr>
                <w:sz w:val="24"/>
                <w:szCs w:val="24"/>
              </w:rPr>
              <w:t>(2017)</w:t>
            </w:r>
            <w:r>
              <w:rPr>
                <w:rFonts w:hint="eastAsia"/>
                <w:sz w:val="24"/>
                <w:szCs w:val="24"/>
              </w:rPr>
              <w:t>学者认为</w:t>
            </w:r>
            <w:r>
              <w:rPr>
                <w:rFonts w:hAnsi="宋体"/>
                <w:sz w:val="24"/>
                <w:szCs w:val="24"/>
              </w:rPr>
              <w:t>,</w:t>
            </w:r>
            <w:r>
              <w:rPr>
                <w:rFonts w:hint="eastAsia"/>
                <w:sz w:val="24"/>
                <w:szCs w:val="24"/>
              </w:rPr>
              <w:t>目前高</w:t>
            </w:r>
            <w:r>
              <w:rPr>
                <w:rFonts w:hint="eastAsia" w:ascii="宋体" w:hAnsi="宋体"/>
                <w:sz w:val="24"/>
                <w:szCs w:val="24"/>
              </w:rPr>
              <w:t>校资助助学工作中仍然存在着部分学生对资助政策对象知晓的程度不高、对学生身份认定信息准确性仍在存疑、资助助学力度不够满意度和国家助学资金贷款对象满意度水平有待不断提高等突出问题</w:t>
            </w:r>
            <w:r>
              <w:rPr>
                <w:rFonts w:ascii="宋体" w:hAnsi="宋体"/>
                <w:sz w:val="24"/>
                <w:szCs w:val="24"/>
              </w:rPr>
              <w:t>,</w:t>
            </w:r>
            <w:r>
              <w:rPr>
                <w:rFonts w:hint="eastAsia" w:ascii="宋体" w:hAnsi="宋体"/>
                <w:sz w:val="24"/>
                <w:szCs w:val="24"/>
              </w:rPr>
              <w:t>应及时采取继续扩大国家资助助学政策对象宣传教育力度、细化学生科学化精准资助政策对象身份认定、开展学生差异化精准助学资助、完善国家助学资金贷款考核制度等政策措施</w:t>
            </w:r>
            <w:r>
              <w:rPr>
                <w:rFonts w:ascii="宋体" w:hAnsi="宋体"/>
                <w:sz w:val="24"/>
                <w:szCs w:val="24"/>
              </w:rPr>
              <w:t>,</w:t>
            </w:r>
            <w:r>
              <w:rPr>
                <w:rFonts w:hint="eastAsia" w:ascii="宋体" w:hAnsi="宋体"/>
                <w:sz w:val="24"/>
                <w:szCs w:val="24"/>
              </w:rPr>
              <w:t>进一步提高高校家庭经济困难学生受益群体对国家资助助学政策的实际满意度。于甜、</w:t>
            </w:r>
            <w:r>
              <w:rPr>
                <w:rFonts w:hint="eastAsia"/>
                <w:sz w:val="24"/>
                <w:szCs w:val="24"/>
              </w:rPr>
              <w:t>成伟和宏涛的《优化大学生资助体系建设的实践与思考》</w:t>
            </w:r>
            <w:r>
              <w:rPr>
                <w:sz w:val="24"/>
                <w:szCs w:val="24"/>
              </w:rPr>
              <w:t>(2015)</w:t>
            </w:r>
            <w:r>
              <w:rPr>
                <w:rFonts w:hint="eastAsia"/>
                <w:sz w:val="24"/>
                <w:szCs w:val="24"/>
              </w:rPr>
              <w:t>文章认为</w:t>
            </w:r>
            <w:r>
              <w:rPr>
                <w:rFonts w:hAnsi="宋体"/>
                <w:sz w:val="24"/>
                <w:szCs w:val="24"/>
              </w:rPr>
              <w:t>,</w:t>
            </w:r>
            <w:r>
              <w:rPr>
                <w:rFonts w:hint="eastAsia"/>
                <w:sz w:val="24"/>
                <w:szCs w:val="24"/>
              </w:rPr>
              <w:t>大学生助</w:t>
            </w:r>
            <w:r>
              <w:rPr>
                <w:rFonts w:hint="eastAsia" w:ascii="宋体" w:hAnsi="宋体"/>
                <w:sz w:val="24"/>
                <w:szCs w:val="24"/>
              </w:rPr>
              <w:t>前资助教育体系建设在资金认定管理工作、体系结构设计和开展助后继续教育上仍然存在诸多问题</w:t>
            </w:r>
            <w:r>
              <w:rPr>
                <w:rFonts w:ascii="宋体" w:hAnsi="宋体"/>
                <w:sz w:val="24"/>
                <w:szCs w:val="24"/>
              </w:rPr>
              <w:t>,</w:t>
            </w:r>
            <w:r>
              <w:rPr>
                <w:rFonts w:hint="eastAsia" w:ascii="宋体" w:hAnsi="宋体"/>
                <w:sz w:val="24"/>
                <w:szCs w:val="24"/>
              </w:rPr>
              <w:t>并分别提出了加快建立健全科学的资助认定工作机制、推进学生资助与助后教育的应用深度有机结合、增强学生资助教育工作者的职业化服务水平、加快深入建设造血型学生资助教育体系的政策建议。</w:t>
            </w:r>
          </w:p>
          <w:p>
            <w:pPr>
              <w:tabs>
                <w:tab w:val="left" w:pos="2107"/>
              </w:tabs>
              <w:spacing w:line="360" w:lineRule="auto"/>
              <w:ind w:firstLine="482" w:firstLineChars="200"/>
              <w:rPr>
                <w:rFonts w:ascii="宋体" w:hAnsi="宋体"/>
                <w:b/>
                <w:sz w:val="24"/>
                <w:szCs w:val="24"/>
              </w:rPr>
            </w:pPr>
            <w:r>
              <w:rPr>
                <w:rFonts w:ascii="宋体" w:hAnsi="宋体"/>
                <w:b/>
                <w:sz w:val="24"/>
                <w:szCs w:val="24"/>
              </w:rPr>
              <w:t>2</w:t>
            </w:r>
            <w:r>
              <w:rPr>
                <w:rFonts w:hint="eastAsia" w:ascii="宋体" w:hAnsi="宋体"/>
                <w:b/>
                <w:sz w:val="24"/>
                <w:szCs w:val="24"/>
              </w:rPr>
              <w:t>、国外研究现状</w:t>
            </w:r>
          </w:p>
          <w:p>
            <w:pPr>
              <w:tabs>
                <w:tab w:val="left" w:pos="2107"/>
              </w:tabs>
              <w:spacing w:line="360" w:lineRule="auto"/>
              <w:ind w:firstLine="480" w:firstLineChars="200"/>
              <w:rPr>
                <w:rFonts w:ascii="宋体" w:hAnsi="宋体"/>
                <w:sz w:val="24"/>
                <w:szCs w:val="24"/>
              </w:rPr>
            </w:pPr>
            <w:r>
              <w:rPr>
                <w:rFonts w:hint="eastAsia" w:ascii="宋体" w:hAnsi="宋体"/>
                <w:sz w:val="24"/>
                <w:szCs w:val="24"/>
              </w:rPr>
              <w:t>纵观国外高校资助研究，早在二十世纪中期起，国外相关机构就在研究资助</w:t>
            </w:r>
            <w:r>
              <w:rPr>
                <w:rFonts w:ascii="宋体" w:hAnsi="宋体"/>
                <w:sz w:val="24"/>
                <w:szCs w:val="24"/>
              </w:rPr>
              <w:t> </w:t>
            </w:r>
            <w:r>
              <w:rPr>
                <w:rFonts w:hint="eastAsia" w:ascii="宋体" w:hAnsi="宋体"/>
                <w:sz w:val="24"/>
                <w:szCs w:val="24"/>
              </w:rPr>
              <w:t>理念及资助方式，其中大量学者运用经济学理论剖析研究高校资助工作问题，提</w:t>
            </w:r>
            <w:r>
              <w:rPr>
                <w:rFonts w:ascii="宋体" w:hAnsi="宋体"/>
                <w:sz w:val="24"/>
                <w:szCs w:val="24"/>
              </w:rPr>
              <w:t> </w:t>
            </w:r>
            <w:r>
              <w:rPr>
                <w:rFonts w:hint="eastAsia" w:ascii="宋体" w:hAnsi="宋体"/>
                <w:sz w:val="24"/>
                <w:szCs w:val="24"/>
              </w:rPr>
              <w:t>出的观点影响价值颇深，尽管一些高校资助中掺杂着精准理念，却没有直接提出精准资助的概念，大部分重视如何解决学生的经济困难，将研究集中在高校学生资助的理念、方法、模式等，很少提及关于学生思想、心理等问题，简单概括如下：</w:t>
            </w:r>
            <w:r>
              <w:rPr>
                <w:rFonts w:ascii="宋体" w:hAnsi="宋体"/>
                <w:sz w:val="24"/>
                <w:szCs w:val="24"/>
              </w:rPr>
              <w:br w:type="textWrapping"/>
            </w:r>
            <w:r>
              <w:rPr>
                <w:rFonts w:ascii="宋体" w:hAnsi="宋体"/>
                <w:sz w:val="24"/>
                <w:szCs w:val="24"/>
              </w:rPr>
              <w:t xml:space="preserve">    </w:t>
            </w:r>
            <w:r>
              <w:rPr>
                <w:rFonts w:hint="eastAsia" w:ascii="宋体" w:hAnsi="宋体"/>
                <w:sz w:val="24"/>
                <w:szCs w:val="24"/>
              </w:rPr>
              <w:t>教育成本分担理论研究。即高等教育成本应由国家、学校、社会、家</w:t>
            </w:r>
            <w:r>
              <w:rPr>
                <w:rFonts w:ascii="宋体" w:hAnsi="宋体"/>
                <w:sz w:val="24"/>
                <w:szCs w:val="24"/>
              </w:rPr>
              <w:t> </w:t>
            </w:r>
            <w:r>
              <w:rPr>
                <w:rFonts w:hint="eastAsia" w:ascii="宋体" w:hAnsi="宋体"/>
                <w:sz w:val="24"/>
                <w:szCs w:val="24"/>
              </w:rPr>
              <w:t>庭及个人多方共同承担，并由此理论奠定了学生贷款的基础。美国著名的高等教育财政专家布鲁斯</w:t>
            </w:r>
            <w:r>
              <w:rPr>
                <w:rFonts w:ascii="宋体" w:hAnsi="宋体"/>
                <w:sz w:val="24"/>
                <w:szCs w:val="24"/>
              </w:rPr>
              <w:t>•</w:t>
            </w:r>
            <w:r>
              <w:rPr>
                <w:rFonts w:hint="eastAsia" w:ascii="宋体" w:hAnsi="宋体"/>
                <w:sz w:val="24"/>
                <w:szCs w:val="24"/>
              </w:rPr>
              <w:t>约翰斯通在其所著的《高等教育财政：国际视野中的成本分担》一书中指出，高校学生可以用过去的收入、现在的收入和未来的收入来分担</w:t>
            </w:r>
            <w:r>
              <w:rPr>
                <w:rFonts w:ascii="宋体" w:hAnsi="宋体"/>
                <w:sz w:val="24"/>
                <w:szCs w:val="24"/>
              </w:rPr>
              <w:t> </w:t>
            </w:r>
            <w:r>
              <w:rPr>
                <w:rFonts w:hint="eastAsia" w:ascii="宋体" w:hAnsi="宋体"/>
                <w:sz w:val="24"/>
                <w:szCs w:val="24"/>
              </w:rPr>
              <w:t>自己因受教育所产生的必需教育成本。</w:t>
            </w:r>
            <w:r>
              <w:rPr>
                <w:rFonts w:ascii="宋体" w:hAnsi="宋体"/>
                <w:sz w:val="24"/>
                <w:szCs w:val="24"/>
              </w:rPr>
              <w:br w:type="textWrapping"/>
            </w:r>
            <w:r>
              <w:rPr>
                <w:rFonts w:ascii="宋体" w:hAnsi="宋体"/>
                <w:sz w:val="24"/>
                <w:szCs w:val="24"/>
              </w:rPr>
              <w:t xml:space="preserve">     </w:t>
            </w:r>
            <w:r>
              <w:rPr>
                <w:rFonts w:hint="eastAsia" w:ascii="宋体" w:hAnsi="宋体"/>
                <w:sz w:val="24"/>
                <w:szCs w:val="24"/>
              </w:rPr>
              <w:t>教育投资回报理论研究。即人力资本理论，教育投资的回报率高于物</w:t>
            </w:r>
            <w:r>
              <w:rPr>
                <w:rFonts w:ascii="宋体" w:hAnsi="宋体"/>
                <w:sz w:val="24"/>
                <w:szCs w:val="24"/>
              </w:rPr>
              <w:t> </w:t>
            </w:r>
            <w:r>
              <w:rPr>
                <w:rFonts w:hint="eastAsia" w:ascii="宋体" w:hAnsi="宋体"/>
                <w:sz w:val="24"/>
                <w:szCs w:val="24"/>
              </w:rPr>
              <w:t>质投资回报率，主要代表作有《国富论》等。世界银行专家萨哈罗普勒斯认为：到高等院校接受教育是应当交学费的，对于那些有需要的人应该给予贷款帮助，对那些特定的学生应当让其享受到奖学金的奖励。</w:t>
            </w:r>
            <w:r>
              <w:rPr>
                <w:rFonts w:ascii="宋体" w:hAnsi="宋体"/>
                <w:sz w:val="24"/>
                <w:szCs w:val="24"/>
              </w:rPr>
              <w:t>“</w:t>
            </w:r>
            <w:r>
              <w:rPr>
                <w:rFonts w:hint="eastAsia" w:ascii="宋体" w:hAnsi="宋体"/>
                <w:sz w:val="24"/>
                <w:szCs w:val="24"/>
              </w:rPr>
              <w:t>只有这个基本理念在相当程</w:t>
            </w:r>
            <w:r>
              <w:rPr>
                <w:rFonts w:ascii="宋体" w:hAnsi="宋体"/>
                <w:sz w:val="24"/>
                <w:szCs w:val="24"/>
              </w:rPr>
              <w:t> </w:t>
            </w:r>
            <w:r>
              <w:rPr>
                <w:rFonts w:hint="eastAsia" w:ascii="宋体" w:hAnsi="宋体"/>
                <w:sz w:val="24"/>
                <w:szCs w:val="24"/>
              </w:rPr>
              <w:t>度上实现之时，这个世界才会迈向一个更加有效、更加公平的教育财政体系。”</w:t>
            </w:r>
            <w:r>
              <w:rPr>
                <w:rFonts w:ascii="宋体" w:hAnsi="宋体"/>
                <w:sz w:val="24"/>
                <w:szCs w:val="24"/>
              </w:rPr>
              <w:br w:type="textWrapping"/>
            </w:r>
            <w:r>
              <w:rPr>
                <w:rFonts w:ascii="宋体" w:hAnsi="宋体"/>
                <w:sz w:val="24"/>
                <w:szCs w:val="24"/>
              </w:rPr>
              <w:t xml:space="preserve">    </w:t>
            </w:r>
            <w:r>
              <w:rPr>
                <w:rFonts w:hint="eastAsia" w:ascii="宋体" w:hAnsi="宋体"/>
                <w:sz w:val="24"/>
                <w:szCs w:val="24"/>
              </w:rPr>
              <w:t>教育公平理论研究。二战结束后，各国都广泛青睐此理论，对教育权利均等、教育机会均等给予高度认可。美国的科尔曼是研究现代教育公平理论最</w:t>
            </w:r>
            <w:r>
              <w:rPr>
                <w:rFonts w:ascii="宋体" w:hAnsi="宋体"/>
                <w:sz w:val="24"/>
                <w:szCs w:val="24"/>
              </w:rPr>
              <w:t> </w:t>
            </w:r>
            <w:r>
              <w:rPr>
                <w:rFonts w:hint="eastAsia" w:ascii="宋体" w:hAnsi="宋体"/>
                <w:sz w:val="24"/>
                <w:szCs w:val="24"/>
              </w:rPr>
              <w:t>具代表性的学者，他提出：</w:t>
            </w:r>
            <w:r>
              <w:rPr>
                <w:rFonts w:ascii="宋体" w:hAnsi="宋体"/>
                <w:sz w:val="24"/>
                <w:szCs w:val="24"/>
              </w:rPr>
              <w:t>“</w:t>
            </w:r>
            <w:r>
              <w:rPr>
                <w:rFonts w:hint="eastAsia" w:ascii="宋体" w:hAnsi="宋体"/>
                <w:sz w:val="24"/>
                <w:szCs w:val="24"/>
              </w:rPr>
              <w:t>一是进入教育系统机会均等，二是进入不同教育渠</w:t>
            </w:r>
            <w:r>
              <w:rPr>
                <w:rFonts w:ascii="宋体" w:hAnsi="宋体"/>
                <w:sz w:val="24"/>
                <w:szCs w:val="24"/>
              </w:rPr>
              <w:t> </w:t>
            </w:r>
            <w:r>
              <w:rPr>
                <w:rFonts w:hint="eastAsia" w:ascii="宋体" w:hAnsi="宋体"/>
                <w:sz w:val="24"/>
                <w:szCs w:val="24"/>
              </w:rPr>
              <w:t>道的机会均等，三是教育成效均等，四是教育影响生活前景均等</w:t>
            </w:r>
            <w:r>
              <w:rPr>
                <w:rFonts w:ascii="宋体" w:hAnsi="宋体"/>
                <w:sz w:val="24"/>
                <w:szCs w:val="24"/>
              </w:rPr>
              <w:t>”</w:t>
            </w:r>
            <w:r>
              <w:rPr>
                <w:rFonts w:hint="eastAsia" w:ascii="宋体" w:hAnsi="宋体"/>
                <w:sz w:val="24"/>
                <w:szCs w:val="24"/>
              </w:rPr>
              <w:t>。瑞典的胡森</w:t>
            </w:r>
            <w:r>
              <w:rPr>
                <w:rFonts w:ascii="宋体" w:hAnsi="宋体"/>
                <w:sz w:val="24"/>
                <w:szCs w:val="24"/>
              </w:rPr>
              <w:t> </w:t>
            </w:r>
            <w:r>
              <w:rPr>
                <w:rFonts w:hint="eastAsia" w:ascii="宋体" w:hAnsi="宋体"/>
                <w:sz w:val="24"/>
                <w:szCs w:val="24"/>
              </w:rPr>
              <w:t>认为：</w:t>
            </w:r>
            <w:r>
              <w:rPr>
                <w:rFonts w:ascii="宋体" w:hAnsi="宋体"/>
                <w:sz w:val="24"/>
                <w:szCs w:val="24"/>
              </w:rPr>
              <w:t>“</w:t>
            </w:r>
            <w:r>
              <w:rPr>
                <w:rFonts w:hint="eastAsia" w:ascii="宋体" w:hAnsi="宋体"/>
                <w:sz w:val="24"/>
                <w:szCs w:val="24"/>
              </w:rPr>
              <w:t>教育公平主要指教育机会均等，包括教育起点的平等、教育过程的平等</w:t>
            </w:r>
            <w:r>
              <w:rPr>
                <w:rFonts w:ascii="宋体" w:hAnsi="宋体"/>
                <w:sz w:val="24"/>
                <w:szCs w:val="24"/>
              </w:rPr>
              <w:t> </w:t>
            </w:r>
            <w:r>
              <w:rPr>
                <w:rFonts w:hint="eastAsia" w:ascii="宋体" w:hAnsi="宋体"/>
                <w:sz w:val="24"/>
                <w:szCs w:val="24"/>
              </w:rPr>
              <w:t>和教育结果的平等</w:t>
            </w:r>
            <w:r>
              <w:rPr>
                <w:rFonts w:ascii="宋体" w:hAnsi="宋体"/>
                <w:sz w:val="24"/>
                <w:szCs w:val="24"/>
              </w:rPr>
              <w:t>”</w:t>
            </w:r>
            <w:r>
              <w:rPr>
                <w:rFonts w:hint="eastAsia" w:ascii="宋体" w:hAnsi="宋体"/>
                <w:sz w:val="24"/>
                <w:szCs w:val="24"/>
              </w:rPr>
              <w:t>。事实不平等难以避免，强调通过补偿教育可以在一定程度上改善弱势群体教育环境和生存状况。</w:t>
            </w:r>
            <w:r>
              <w:rPr>
                <w:rFonts w:ascii="宋体" w:hAnsi="宋体"/>
                <w:sz w:val="24"/>
                <w:szCs w:val="24"/>
              </w:rPr>
              <w:br w:type="textWrapping"/>
            </w:r>
            <w:r>
              <w:rPr>
                <w:rFonts w:ascii="宋体" w:hAnsi="宋体"/>
                <w:sz w:val="24"/>
                <w:szCs w:val="24"/>
              </w:rPr>
              <w:t xml:space="preserve">    </w:t>
            </w:r>
            <w:r>
              <w:rPr>
                <w:rFonts w:hint="eastAsia" w:ascii="宋体" w:hAnsi="宋体"/>
                <w:sz w:val="24"/>
                <w:szCs w:val="24"/>
              </w:rPr>
              <w:t>关于思政类教学模式改革方面，日本学者在《思想政治教育学科的回顾与展望》一文中指出：当前思政专业硕士生课程建设存在因人设课或是应政治需要设课，并未考虑专业需要；解决这一问题，一是要明确思路，提高课程设置的科学性和合理性；二是要突出基础理论知识，尤其是马克思主义基</w:t>
            </w:r>
            <w:r>
              <w:rPr>
                <w:rFonts w:ascii="宋体" w:hAnsi="宋体"/>
                <w:sz w:val="24"/>
                <w:szCs w:val="24"/>
              </w:rPr>
              <w:t> </w:t>
            </w:r>
            <w:r>
              <w:rPr>
                <w:rFonts w:hint="eastAsia" w:ascii="宋体" w:hAnsi="宋体"/>
                <w:sz w:val="24"/>
                <w:szCs w:val="24"/>
              </w:rPr>
              <w:t>本理论知识；三是要突出实践环节。德国学者从专业建设现状出发，指出思政专业硕士生师资不齐备导致同专业课</w:t>
            </w:r>
            <w:r>
              <w:rPr>
                <w:rFonts w:ascii="宋体" w:hAnsi="宋体"/>
                <w:sz w:val="24"/>
                <w:szCs w:val="24"/>
              </w:rPr>
              <w:t> </w:t>
            </w:r>
            <w:r>
              <w:rPr>
                <w:rFonts w:hint="eastAsia" w:ascii="宋体" w:hAnsi="宋体"/>
                <w:sz w:val="24"/>
                <w:szCs w:val="24"/>
              </w:rPr>
              <w:t>程设置缺乏必要的统一性、规范性和科学性，学生素质参差不齐，教学质量难以保证。对此应该在思政专业硕士生的课程设置上遵循高层次、精准化、综合化、特色化原则，通过课程改革</w:t>
            </w:r>
            <w:r>
              <w:rPr>
                <w:rFonts w:ascii="宋体" w:hAnsi="宋体"/>
                <w:sz w:val="24"/>
                <w:szCs w:val="24"/>
              </w:rPr>
              <w:t> </w:t>
            </w:r>
            <w:r>
              <w:rPr>
                <w:rFonts w:hint="eastAsia" w:ascii="宋体" w:hAnsi="宋体"/>
                <w:sz w:val="24"/>
                <w:szCs w:val="24"/>
              </w:rPr>
              <w:t>实现课程设置规范化，改革课程教学方式，理论联系实际，学以致用。</w:t>
            </w:r>
          </w:p>
          <w:p>
            <w:pPr>
              <w:tabs>
                <w:tab w:val="left" w:pos="2107"/>
              </w:tabs>
              <w:spacing w:line="360" w:lineRule="auto"/>
              <w:ind w:firstLine="482" w:firstLineChars="200"/>
              <w:rPr>
                <w:rFonts w:ascii="宋体" w:hAnsi="宋体"/>
                <w:b/>
                <w:sz w:val="24"/>
                <w:szCs w:val="24"/>
              </w:rPr>
            </w:pPr>
            <w:r>
              <w:rPr>
                <w:rFonts w:ascii="宋体" w:hAnsi="宋体"/>
                <w:b/>
                <w:sz w:val="24"/>
                <w:szCs w:val="24"/>
              </w:rPr>
              <w:t>3</w:t>
            </w:r>
            <w:r>
              <w:rPr>
                <w:rFonts w:hint="eastAsia" w:ascii="宋体" w:hAnsi="宋体"/>
                <w:b/>
                <w:sz w:val="24"/>
                <w:szCs w:val="24"/>
              </w:rPr>
              <w:t>、国内外研究现状综述</w:t>
            </w:r>
          </w:p>
          <w:tbl>
            <w:tblPr>
              <w:tblStyle w:val="6"/>
              <w:tblW w:w="5000" w:type="pct"/>
              <w:tblInd w:w="0" w:type="dxa"/>
              <w:tblLayout w:type="autofit"/>
              <w:tblCellMar>
                <w:top w:w="0" w:type="dxa"/>
                <w:left w:w="0" w:type="dxa"/>
                <w:bottom w:w="0" w:type="dxa"/>
                <w:right w:w="0" w:type="dxa"/>
              </w:tblCellMar>
            </w:tblPr>
            <w:tblGrid>
              <w:gridCol w:w="9638"/>
            </w:tblGrid>
            <w:tr>
              <w:tblPrEx>
                <w:tblCellMar>
                  <w:top w:w="0" w:type="dxa"/>
                  <w:left w:w="0" w:type="dxa"/>
                  <w:bottom w:w="0" w:type="dxa"/>
                  <w:right w:w="0" w:type="dxa"/>
                </w:tblCellMar>
              </w:tblPrEx>
              <w:tc>
                <w:tcPr>
                  <w:tcW w:w="9638" w:type="dxa"/>
                  <w:vAlign w:val="center"/>
                </w:tcPr>
                <w:tbl>
                  <w:tblPr>
                    <w:tblStyle w:val="6"/>
                    <w:tblW w:w="5000" w:type="pct"/>
                    <w:tblInd w:w="0" w:type="dxa"/>
                    <w:tblLayout w:type="autofit"/>
                    <w:tblCellMar>
                      <w:top w:w="0" w:type="dxa"/>
                      <w:left w:w="0" w:type="dxa"/>
                      <w:bottom w:w="0" w:type="dxa"/>
                      <w:right w:w="0" w:type="dxa"/>
                    </w:tblCellMar>
                  </w:tblPr>
                  <w:tblGrid>
                    <w:gridCol w:w="9638"/>
                  </w:tblGrid>
                  <w:tr>
                    <w:tblPrEx>
                      <w:tblCellMar>
                        <w:top w:w="0" w:type="dxa"/>
                        <w:left w:w="0" w:type="dxa"/>
                        <w:bottom w:w="0" w:type="dxa"/>
                        <w:right w:w="0" w:type="dxa"/>
                      </w:tblCellMar>
                    </w:tblPrEx>
                    <w:tc>
                      <w:tcPr>
                        <w:tcW w:w="10232" w:type="dxa"/>
                        <w:vAlign w:val="center"/>
                      </w:tcPr>
                      <w:p>
                        <w:pPr>
                          <w:tabs>
                            <w:tab w:val="left" w:pos="2107"/>
                          </w:tabs>
                          <w:spacing w:line="360" w:lineRule="auto"/>
                          <w:ind w:firstLine="480" w:firstLineChars="200"/>
                          <w:rPr>
                            <w:rFonts w:hAnsi="宋体"/>
                            <w:sz w:val="24"/>
                            <w:szCs w:val="24"/>
                          </w:rPr>
                        </w:pPr>
                        <w:r>
                          <w:rPr>
                            <w:rFonts w:hint="eastAsia"/>
                            <w:sz w:val="24"/>
                            <w:szCs w:val="24"/>
                          </w:rPr>
                          <w:t>综上所述，从国内外开展的研究现状来看，有关高校资助管理的研究既有宏观上对资助体系和资助政策的研究，也有微观上对资助机构和资助育人的研究。但是基于高校学生资助管理效率改善的思政教育进课堂、进课程教学模式改革策略方面的研究不多，这就为本课题的开展提供研究空间，相信本课题的开展对于指导高校借助思政教育进课堂教学模式改革实现学生资助管理工作效率改善方面有很重要意义。</w:t>
                        </w:r>
                      </w:p>
                      <w:p>
                        <w:pPr>
                          <w:widowControl/>
                          <w:tabs>
                            <w:tab w:val="left" w:pos="2107"/>
                          </w:tabs>
                          <w:spacing w:line="360" w:lineRule="auto"/>
                          <w:ind w:firstLine="480" w:firstLineChars="200"/>
                          <w:jc w:val="left"/>
                          <w:rPr>
                            <w:rFonts w:ascii="宋体" w:hAnsi="宋体"/>
                            <w:sz w:val="24"/>
                            <w:szCs w:val="24"/>
                          </w:rPr>
                        </w:pPr>
                      </w:p>
                    </w:tc>
                  </w:tr>
                </w:tbl>
                <w:p>
                  <w:pPr>
                    <w:pStyle w:val="5"/>
                    <w:tabs>
                      <w:tab w:val="left" w:pos="2107"/>
                    </w:tabs>
                    <w:spacing w:before="0" w:beforeAutospacing="0" w:after="0" w:afterAutospacing="0" w:line="360" w:lineRule="auto"/>
                    <w:ind w:firstLine="480" w:firstLineChars="200"/>
                    <w:rPr>
                      <w:kern w:val="2"/>
                    </w:rPr>
                  </w:pPr>
                </w:p>
              </w:tc>
            </w:tr>
          </w:tbl>
          <w:p>
            <w:pPr>
              <w:tabs>
                <w:tab w:val="left" w:pos="2107"/>
              </w:tabs>
              <w:spacing w:line="360" w:lineRule="auto"/>
              <w:ind w:firstLine="480" w:firstLineChars="200"/>
              <w:rPr>
                <w:rFonts w:ascii="宋体" w:hAnsi="宋体"/>
                <w:sz w:val="24"/>
                <w:szCs w:val="24"/>
              </w:rPr>
            </w:pPr>
          </w:p>
        </w:tc>
      </w:tr>
    </w:tbl>
    <w:p>
      <w:pPr>
        <w:spacing w:line="312" w:lineRule="auto"/>
        <w:ind w:left="284" w:hanging="284"/>
        <w:rPr>
          <w:sz w:val="18"/>
          <w:szCs w:val="18"/>
        </w:rPr>
      </w:pPr>
      <w:r>
        <w:rPr>
          <w:b/>
          <w:bCs/>
          <w:sz w:val="24"/>
          <w:szCs w:val="24"/>
        </w:rPr>
        <w:t xml:space="preserve"> </w:t>
      </w:r>
      <w:r>
        <w:rPr>
          <w:sz w:val="18"/>
          <w:szCs w:val="18"/>
        </w:rPr>
        <w:t xml:space="preserve"> </w:t>
      </w:r>
    </w:p>
    <w:p>
      <w:pPr>
        <w:spacing w:line="312" w:lineRule="auto"/>
        <w:ind w:left="284" w:hanging="284"/>
        <w:rPr>
          <w:rFonts w:eastAsia="黑体" w:cs="黑体"/>
          <w:b/>
          <w:bCs/>
          <w:sz w:val="28"/>
          <w:szCs w:val="28"/>
        </w:rPr>
      </w:pPr>
      <w:r>
        <w:rPr>
          <w:sz w:val="18"/>
          <w:szCs w:val="18"/>
        </w:rPr>
        <w:br w:type="page"/>
      </w:r>
      <w:r>
        <w:rPr>
          <w:sz w:val="18"/>
          <w:szCs w:val="18"/>
        </w:rPr>
        <w:t xml:space="preserve"> </w:t>
      </w:r>
      <w:r>
        <w:rPr>
          <w:rFonts w:hint="eastAsia" w:eastAsia="黑体" w:cs="黑体"/>
          <w:b/>
          <w:bCs/>
          <w:sz w:val="28"/>
          <w:szCs w:val="28"/>
        </w:rPr>
        <w:t>三、研究方案</w:t>
      </w:r>
    </w:p>
    <w:tbl>
      <w:tblPr>
        <w:tblStyle w:val="6"/>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1" w:type="dxa"/>
          </w:tcPr>
          <w:p>
            <w:pPr>
              <w:spacing w:line="420" w:lineRule="exact"/>
              <w:ind w:right="57"/>
              <w:rPr>
                <w:rFonts w:ascii="黑体" w:hAnsi="黑体" w:eastAsia="黑体"/>
                <w:b/>
                <w:sz w:val="28"/>
                <w:szCs w:val="28"/>
              </w:rPr>
            </w:pPr>
            <w:r>
              <w:rPr>
                <w:rFonts w:hint="eastAsia" w:ascii="黑体" w:hAnsi="黑体" w:eastAsia="黑体"/>
                <w:b/>
                <w:sz w:val="28"/>
                <w:szCs w:val="28"/>
              </w:rPr>
              <w:t>（一）研究目标、研究内容和拟解决的关键问题</w:t>
            </w:r>
          </w:p>
          <w:p>
            <w:pPr>
              <w:spacing w:line="420" w:lineRule="exact"/>
              <w:ind w:firstLine="482" w:firstLineChars="200"/>
              <w:rPr>
                <w:rFonts w:ascii="黑体" w:hAnsi="黑体" w:eastAsia="黑体"/>
                <w:b/>
                <w:sz w:val="24"/>
                <w:szCs w:val="24"/>
              </w:rPr>
            </w:pPr>
            <w:r>
              <w:rPr>
                <w:rFonts w:ascii="黑体" w:hAnsi="黑体" w:eastAsia="黑体"/>
                <w:b/>
                <w:sz w:val="24"/>
                <w:szCs w:val="24"/>
              </w:rPr>
              <w:t>1</w:t>
            </w:r>
            <w:r>
              <w:rPr>
                <w:rFonts w:hint="eastAsia" w:ascii="黑体" w:hAnsi="黑体" w:eastAsia="黑体"/>
                <w:b/>
                <w:sz w:val="24"/>
                <w:szCs w:val="24"/>
              </w:rPr>
              <w:t>、研究目标</w:t>
            </w:r>
          </w:p>
          <w:p>
            <w:pPr>
              <w:tabs>
                <w:tab w:val="left" w:pos="2107"/>
              </w:tabs>
              <w:spacing w:line="360" w:lineRule="auto"/>
              <w:ind w:firstLine="480" w:firstLineChars="200"/>
              <w:rPr>
                <w:rFonts w:ascii="宋体" w:hAnsi="宋体"/>
                <w:sz w:val="24"/>
                <w:szCs w:val="24"/>
              </w:rPr>
            </w:pPr>
            <w:r>
              <w:rPr>
                <w:rStyle w:val="13"/>
                <w:rFonts w:ascii="宋体" w:hAnsi="宋体" w:eastAsia="宋体"/>
                <w:sz w:val="24"/>
                <w:szCs w:val="24"/>
              </w:rPr>
              <w:t>1</w:t>
            </w:r>
            <w:r>
              <w:rPr>
                <w:rStyle w:val="13"/>
                <w:rFonts w:hint="eastAsia" w:ascii="宋体" w:hAnsi="宋体" w:eastAsia="宋体"/>
                <w:sz w:val="24"/>
                <w:szCs w:val="24"/>
                <w:lang w:val="zh-CN"/>
              </w:rPr>
              <w:t>）帮助社会各界更清晰地认识到高校家庭经济困难学生的问题、资助管理的问题，促使更多的企业和爱心人士积极主动的捐资</w:t>
            </w:r>
            <w:r>
              <w:rPr>
                <w:rStyle w:val="13"/>
                <w:rFonts w:ascii="宋体" w:hAnsi="宋体" w:eastAsia="宋体"/>
                <w:sz w:val="24"/>
                <w:szCs w:val="24"/>
                <w:lang w:val="zh-CN"/>
              </w:rPr>
              <w:t xml:space="preserve"> </w:t>
            </w:r>
            <w:r>
              <w:rPr>
                <w:rStyle w:val="13"/>
                <w:rFonts w:hint="eastAsia" w:ascii="宋体" w:hAnsi="宋体" w:eastAsia="宋体"/>
                <w:sz w:val="24"/>
                <w:szCs w:val="24"/>
                <w:lang w:val="zh-CN"/>
              </w:rPr>
              <w:t>助学，共同帮助高校的成长；促使政府进一步关注高校，了解高校家庭经济困难学生这一特殊群体，尽早出台针对高校家庭经济困难学生的资助政策，从政策和制度层面优化高校资助管理，更好地解决高校资助管理问题。</w:t>
            </w:r>
          </w:p>
          <w:p>
            <w:pPr>
              <w:pStyle w:val="14"/>
              <w:spacing w:before="0" w:line="360" w:lineRule="auto"/>
              <w:ind w:firstLine="480" w:firstLineChars="200"/>
              <w:jc w:val="both"/>
              <w:rPr>
                <w:rStyle w:val="13"/>
                <w:rFonts w:ascii="宋体" w:hAnsi="宋体" w:eastAsia="宋体" w:cs="宋体"/>
                <w:sz w:val="24"/>
                <w:szCs w:val="24"/>
                <w:lang w:val="zh-CN"/>
              </w:rPr>
            </w:pPr>
            <w:r>
              <w:rPr>
                <w:rStyle w:val="13"/>
                <w:rFonts w:ascii="宋体" w:hAnsi="宋体" w:eastAsia="宋体" w:cs="宋体"/>
                <w:sz w:val="24"/>
                <w:szCs w:val="24"/>
              </w:rPr>
              <w:t>2</w:t>
            </w:r>
            <w:r>
              <w:rPr>
                <w:rStyle w:val="13"/>
                <w:rFonts w:hint="eastAsia" w:ascii="宋体" w:hAnsi="宋体" w:eastAsia="宋体" w:cs="宋体"/>
                <w:sz w:val="24"/>
                <w:szCs w:val="24"/>
                <w:lang w:val="zh-CN"/>
              </w:rPr>
              <w:t>）通过对大学生对高校思政教育进课堂、进课程的认同现状及对策的研究，有利于思政课堂、思政课程育人功能的进一步充分发挥，进而有利于提高大学生的综合素质，促进大学生的成人成才。</w:t>
            </w:r>
          </w:p>
          <w:p>
            <w:pPr>
              <w:pStyle w:val="14"/>
              <w:spacing w:before="0" w:line="360" w:lineRule="auto"/>
              <w:ind w:firstLine="480" w:firstLineChars="200"/>
              <w:jc w:val="both"/>
              <w:rPr>
                <w:rFonts w:ascii="宋体" w:hAnsi="宋体" w:eastAsia="宋体" w:cs="宋体"/>
                <w:sz w:val="24"/>
                <w:szCs w:val="24"/>
              </w:rPr>
            </w:pPr>
            <w:r>
              <w:rPr>
                <w:rStyle w:val="13"/>
                <w:rFonts w:ascii="宋体" w:hAnsi="宋体" w:eastAsia="宋体" w:cs="宋体"/>
                <w:sz w:val="24"/>
                <w:szCs w:val="24"/>
              </w:rPr>
              <w:t>3</w:t>
            </w:r>
            <w:r>
              <w:rPr>
                <w:rStyle w:val="13"/>
                <w:rFonts w:hint="eastAsia" w:ascii="宋体" w:hAnsi="宋体" w:eastAsia="宋体" w:cs="宋体"/>
                <w:sz w:val="24"/>
                <w:szCs w:val="24"/>
                <w:lang w:val="zh-CN"/>
              </w:rPr>
              <w:t>）推动高校思政教育进课堂、进课程的有序、有效开展。通过落实增强大学生对高校思政教育进课堂、进课程的认同措施，在一定程度上有利于引导大学生形成思想上的正确认知；提高教师的综合教学水平与思想政治认知，有利于深化此课堂与课程的教学改革，使其教材体系更加完善和教材内容编写更加科学化、教学方式方法更加丰富和科学以及考核评价体系更加完善等；有利于健全思政教育进课堂、进课程的保障机制，使其拥有更高的学科地位和教学环境、更好的认同氛围以及更加有效的监督机制，为高校学生的成长和进步创设良好的发展环境。</w:t>
            </w:r>
          </w:p>
          <w:p>
            <w:pPr>
              <w:spacing w:line="420" w:lineRule="exact"/>
              <w:ind w:firstLine="482" w:firstLineChars="200"/>
              <w:rPr>
                <w:rFonts w:ascii="黑体" w:hAnsi="黑体" w:eastAsia="黑体"/>
                <w:b/>
                <w:sz w:val="24"/>
                <w:szCs w:val="24"/>
              </w:rPr>
            </w:pPr>
            <w:r>
              <w:rPr>
                <w:rFonts w:ascii="黑体" w:hAnsi="黑体" w:eastAsia="黑体"/>
                <w:b/>
                <w:sz w:val="24"/>
                <w:szCs w:val="24"/>
              </w:rPr>
              <w:t>2</w:t>
            </w:r>
            <w:r>
              <w:rPr>
                <w:rFonts w:hint="eastAsia" w:ascii="黑体" w:hAnsi="黑体" w:eastAsia="黑体"/>
                <w:b/>
                <w:sz w:val="24"/>
                <w:szCs w:val="24"/>
              </w:rPr>
              <w:t>、研究内容</w:t>
            </w:r>
          </w:p>
          <w:p>
            <w:pPr>
              <w:pStyle w:val="14"/>
              <w:spacing w:before="0" w:line="360" w:lineRule="auto"/>
              <w:ind w:firstLine="480" w:firstLineChars="200"/>
              <w:jc w:val="both"/>
              <w:rPr>
                <w:rStyle w:val="13"/>
                <w:rFonts w:ascii="宋体" w:hAnsi="宋体" w:eastAsia="宋体" w:cs="宋体"/>
                <w:sz w:val="24"/>
                <w:szCs w:val="24"/>
              </w:rPr>
            </w:pPr>
            <w:r>
              <w:rPr>
                <w:rStyle w:val="13"/>
                <w:rFonts w:ascii="宋体" w:hAnsi="宋体" w:eastAsia="宋体" w:cs="宋体"/>
                <w:sz w:val="24"/>
                <w:szCs w:val="24"/>
              </w:rPr>
              <w:t>1</w:t>
            </w:r>
            <w:r>
              <w:rPr>
                <w:rStyle w:val="13"/>
                <w:rFonts w:hint="eastAsia" w:ascii="宋体" w:hAnsi="宋体" w:eastAsia="宋体" w:cs="宋体"/>
                <w:sz w:val="24"/>
                <w:szCs w:val="24"/>
              </w:rPr>
              <w:t>）高校学生资助管理体系的现状分析。</w:t>
            </w:r>
          </w:p>
          <w:p>
            <w:pPr>
              <w:pStyle w:val="14"/>
              <w:spacing w:before="0" w:line="360" w:lineRule="auto"/>
              <w:ind w:firstLine="480" w:firstLineChars="200"/>
              <w:jc w:val="both"/>
              <w:rPr>
                <w:rStyle w:val="13"/>
                <w:rFonts w:ascii="宋体" w:hAnsi="宋体" w:eastAsia="宋体" w:cs="宋体"/>
                <w:sz w:val="24"/>
                <w:szCs w:val="24"/>
              </w:rPr>
            </w:pPr>
            <w:r>
              <w:rPr>
                <w:rStyle w:val="13"/>
                <w:rFonts w:ascii="宋体" w:hAnsi="宋体" w:eastAsia="宋体" w:cs="宋体"/>
                <w:sz w:val="24"/>
                <w:szCs w:val="24"/>
              </w:rPr>
              <w:t>2</w:t>
            </w:r>
            <w:r>
              <w:rPr>
                <w:rStyle w:val="13"/>
                <w:rFonts w:hint="eastAsia" w:ascii="宋体" w:hAnsi="宋体" w:eastAsia="宋体" w:cs="宋体"/>
                <w:sz w:val="24"/>
                <w:szCs w:val="24"/>
              </w:rPr>
              <w:t>）思政教育进课堂、进课程的高校学生资助管理体系流程设计。</w:t>
            </w:r>
          </w:p>
          <w:p>
            <w:pPr>
              <w:pStyle w:val="14"/>
              <w:spacing w:before="0" w:line="360" w:lineRule="auto"/>
              <w:ind w:firstLine="480" w:firstLineChars="200"/>
              <w:jc w:val="both"/>
              <w:rPr>
                <w:rStyle w:val="13"/>
                <w:rFonts w:ascii="宋体" w:hAnsi="宋体" w:eastAsia="宋体" w:cs="宋体"/>
                <w:sz w:val="24"/>
                <w:szCs w:val="24"/>
              </w:rPr>
            </w:pPr>
            <w:r>
              <w:rPr>
                <w:rStyle w:val="13"/>
                <w:rFonts w:ascii="宋体" w:hAnsi="宋体" w:eastAsia="宋体" w:cs="宋体"/>
                <w:sz w:val="24"/>
                <w:szCs w:val="24"/>
              </w:rPr>
              <w:t>3</w:t>
            </w:r>
            <w:r>
              <w:rPr>
                <w:rStyle w:val="13"/>
                <w:rFonts w:hint="eastAsia" w:ascii="宋体" w:hAnsi="宋体" w:eastAsia="宋体" w:cs="宋体"/>
                <w:sz w:val="24"/>
                <w:szCs w:val="24"/>
              </w:rPr>
              <w:t>）融入思政教育的高校学生资助管理体系改善情况分析。</w:t>
            </w:r>
          </w:p>
          <w:p>
            <w:pPr>
              <w:spacing w:line="420" w:lineRule="exact"/>
              <w:ind w:firstLine="482" w:firstLineChars="200"/>
              <w:rPr>
                <w:rFonts w:ascii="黑体" w:hAnsi="黑体" w:eastAsia="黑体"/>
                <w:b/>
                <w:sz w:val="24"/>
                <w:szCs w:val="24"/>
              </w:rPr>
            </w:pPr>
            <w:r>
              <w:rPr>
                <w:rFonts w:ascii="黑体" w:hAnsi="黑体" w:eastAsia="黑体"/>
                <w:b/>
                <w:sz w:val="24"/>
                <w:szCs w:val="24"/>
              </w:rPr>
              <w:t>3</w:t>
            </w:r>
            <w:r>
              <w:rPr>
                <w:rFonts w:hint="eastAsia" w:ascii="黑体" w:hAnsi="黑体" w:eastAsia="黑体"/>
                <w:b/>
                <w:sz w:val="24"/>
                <w:szCs w:val="24"/>
              </w:rPr>
              <w:t>、拟解决的关键问题</w:t>
            </w:r>
          </w:p>
          <w:p>
            <w:pPr>
              <w:pStyle w:val="14"/>
              <w:spacing w:before="0" w:line="360" w:lineRule="auto"/>
              <w:ind w:firstLine="480" w:firstLineChars="200"/>
              <w:jc w:val="both"/>
              <w:rPr>
                <w:rStyle w:val="13"/>
                <w:rFonts w:ascii="宋体" w:hAnsi="宋体" w:eastAsia="宋体" w:cs="宋体"/>
                <w:sz w:val="24"/>
                <w:szCs w:val="24"/>
              </w:rPr>
            </w:pPr>
            <w:r>
              <w:rPr>
                <w:rStyle w:val="13"/>
                <w:rFonts w:ascii="宋体" w:hAnsi="宋体" w:eastAsia="宋体" w:cs="宋体"/>
                <w:sz w:val="24"/>
                <w:szCs w:val="24"/>
              </w:rPr>
              <w:t>1</w:t>
            </w:r>
            <w:r>
              <w:rPr>
                <w:rStyle w:val="13"/>
                <w:rFonts w:hint="eastAsia" w:ascii="宋体" w:hAnsi="宋体" w:eastAsia="宋体" w:cs="宋体"/>
                <w:sz w:val="24"/>
                <w:szCs w:val="24"/>
              </w:rPr>
              <w:t>）如何通过思政教育进课堂、进课程教学模式改革后促进高校学生资助管理效率改善策略的打造。</w:t>
            </w:r>
          </w:p>
          <w:p>
            <w:pPr>
              <w:pStyle w:val="14"/>
              <w:spacing w:before="0" w:line="360" w:lineRule="auto"/>
              <w:ind w:firstLine="480" w:firstLineChars="200"/>
              <w:jc w:val="both"/>
              <w:rPr>
                <w:rFonts w:ascii="宋体" w:hAnsi="宋体" w:eastAsia="宋体" w:cs="宋体"/>
                <w:sz w:val="24"/>
                <w:szCs w:val="24"/>
              </w:rPr>
            </w:pPr>
            <w:r>
              <w:rPr>
                <w:rStyle w:val="13"/>
                <w:rFonts w:ascii="宋体" w:hAnsi="宋体" w:eastAsia="宋体" w:cs="宋体"/>
                <w:sz w:val="24"/>
                <w:szCs w:val="24"/>
              </w:rPr>
              <w:t>2</w:t>
            </w:r>
            <w:r>
              <w:rPr>
                <w:rStyle w:val="13"/>
                <w:rFonts w:hint="eastAsia" w:ascii="宋体" w:hAnsi="宋体" w:eastAsia="宋体" w:cs="宋体"/>
                <w:sz w:val="24"/>
                <w:szCs w:val="24"/>
              </w:rPr>
              <w:t>）高校接受资助的学生个体差异较大，制定出通过思政教育进课堂、讲课程教学模式改革后带动学生资助管理效果的改善。</w:t>
            </w:r>
          </w:p>
          <w:p>
            <w:pPr>
              <w:spacing w:line="420" w:lineRule="exact"/>
              <w:ind w:right="57"/>
              <w:rPr>
                <w:rFonts w:ascii="黑体" w:hAnsi="黑体" w:eastAsia="黑体"/>
                <w:b/>
                <w:sz w:val="28"/>
                <w:szCs w:val="28"/>
              </w:rPr>
            </w:pPr>
            <w:r>
              <w:rPr>
                <w:rFonts w:hint="eastAsia" w:ascii="黑体" w:hAnsi="黑体" w:eastAsia="黑体"/>
                <w:b/>
                <w:sz w:val="28"/>
                <w:szCs w:val="28"/>
              </w:rPr>
              <w:t>（二）拟采取的研究方法及可行性分析</w:t>
            </w:r>
          </w:p>
          <w:p>
            <w:pPr>
              <w:spacing w:line="420" w:lineRule="exact"/>
              <w:ind w:firstLine="482" w:firstLineChars="200"/>
              <w:rPr>
                <w:rFonts w:ascii="黑体" w:hAnsi="黑体" w:eastAsia="黑体"/>
                <w:b/>
                <w:sz w:val="24"/>
                <w:szCs w:val="24"/>
              </w:rPr>
            </w:pPr>
            <w:r>
              <w:rPr>
                <w:rFonts w:ascii="黑体" w:hAnsi="黑体" w:eastAsia="黑体"/>
                <w:b/>
                <w:sz w:val="24"/>
                <w:szCs w:val="24"/>
              </w:rPr>
              <w:t>1</w:t>
            </w:r>
            <w:r>
              <w:rPr>
                <w:rFonts w:hint="eastAsia" w:ascii="黑体" w:hAnsi="黑体" w:eastAsia="黑体"/>
                <w:b/>
                <w:sz w:val="24"/>
                <w:szCs w:val="24"/>
              </w:rPr>
              <w:t>、研究方法</w:t>
            </w:r>
          </w:p>
          <w:p>
            <w:pPr>
              <w:pStyle w:val="14"/>
              <w:spacing w:before="0" w:line="360" w:lineRule="auto"/>
              <w:ind w:firstLine="480" w:firstLineChars="200"/>
              <w:jc w:val="both"/>
              <w:rPr>
                <w:rStyle w:val="13"/>
                <w:rFonts w:ascii="宋体" w:hAnsi="宋体" w:eastAsia="宋体" w:cs="宋体"/>
                <w:sz w:val="24"/>
                <w:szCs w:val="24"/>
              </w:rPr>
            </w:pPr>
            <w:r>
              <w:rPr>
                <w:rStyle w:val="13"/>
                <w:rFonts w:hint="eastAsia" w:ascii="宋体" w:hAnsi="宋体" w:eastAsia="宋体" w:cs="宋体"/>
                <w:sz w:val="24"/>
                <w:szCs w:val="24"/>
              </w:rPr>
              <w:t>本课题本着人本特色、计划性的原则，主要采用以下几种研究方法：</w:t>
            </w:r>
          </w:p>
          <w:p>
            <w:pPr>
              <w:pStyle w:val="14"/>
              <w:spacing w:before="0" w:line="360" w:lineRule="auto"/>
              <w:ind w:firstLine="482" w:firstLineChars="200"/>
              <w:jc w:val="both"/>
              <w:rPr>
                <w:rStyle w:val="13"/>
                <w:rFonts w:ascii="宋体" w:hAnsi="宋体" w:eastAsia="宋体" w:cs="宋体"/>
                <w:sz w:val="24"/>
                <w:szCs w:val="24"/>
              </w:rPr>
            </w:pPr>
            <w:r>
              <w:rPr>
                <w:rStyle w:val="13"/>
                <w:rFonts w:ascii="宋体" w:hAnsi="宋体" w:eastAsia="宋体" w:cs="宋体"/>
                <w:b/>
                <w:sz w:val="24"/>
                <w:szCs w:val="24"/>
              </w:rPr>
              <w:t>1</w:t>
            </w:r>
            <w:r>
              <w:rPr>
                <w:rStyle w:val="13"/>
                <w:rFonts w:hint="eastAsia" w:ascii="宋体" w:hAnsi="宋体" w:eastAsia="宋体" w:cs="宋体"/>
                <w:b/>
                <w:sz w:val="24"/>
                <w:szCs w:val="24"/>
              </w:rPr>
              <w:t>）个案研究法。</w:t>
            </w:r>
            <w:r>
              <w:rPr>
                <w:rStyle w:val="13"/>
                <w:rFonts w:hint="eastAsia" w:ascii="宋体" w:hAnsi="宋体" w:eastAsia="宋体" w:cs="宋体"/>
                <w:sz w:val="24"/>
                <w:szCs w:val="24"/>
              </w:rPr>
              <w:t>该研究将如何通过思政类课程教学模式改革策略促进高校学生资助管理效率改善的实施路径选择的实际情况作为重点，在组织一线教师对借助思政类课程教学模式改革后促进高校学生资助管理效率改善过程中出现的实际案例进行持续地观察、调查和实验，进而研究出高校学生资助管理效率方面的改变，同时对理论进行探究、凝练和提升。</w:t>
            </w:r>
          </w:p>
          <w:p>
            <w:pPr>
              <w:pStyle w:val="14"/>
              <w:spacing w:before="0" w:line="360" w:lineRule="auto"/>
              <w:ind w:firstLine="482" w:firstLineChars="200"/>
              <w:jc w:val="both"/>
              <w:rPr>
                <w:rStyle w:val="13"/>
                <w:rFonts w:ascii="宋体" w:hAnsi="宋体" w:eastAsia="宋体" w:cs="宋体"/>
                <w:sz w:val="24"/>
                <w:szCs w:val="24"/>
              </w:rPr>
            </w:pPr>
            <w:r>
              <w:rPr>
                <w:rStyle w:val="13"/>
                <w:rFonts w:ascii="宋体" w:hAnsi="宋体" w:eastAsia="宋体" w:cs="宋体"/>
                <w:b/>
                <w:sz w:val="24"/>
                <w:szCs w:val="24"/>
              </w:rPr>
              <w:t>2</w:t>
            </w:r>
            <w:r>
              <w:rPr>
                <w:rStyle w:val="13"/>
                <w:rFonts w:hint="eastAsia" w:ascii="宋体" w:hAnsi="宋体" w:eastAsia="宋体" w:cs="宋体"/>
                <w:b/>
                <w:sz w:val="24"/>
                <w:szCs w:val="24"/>
              </w:rPr>
              <w:t>）文献比较法。</w:t>
            </w:r>
            <w:r>
              <w:rPr>
                <w:rStyle w:val="13"/>
                <w:rFonts w:hint="eastAsia" w:ascii="宋体" w:hAnsi="宋体" w:eastAsia="宋体" w:cs="宋体"/>
                <w:sz w:val="24"/>
                <w:szCs w:val="24"/>
              </w:rPr>
              <w:t>系统收集、学习国内外与本课题相关研究成果，借鉴参考国内外相关前沿做法，用理论指导自己的研究，同时对理论进行总结、归纳和升华。</w:t>
            </w:r>
          </w:p>
          <w:p>
            <w:pPr>
              <w:pStyle w:val="14"/>
              <w:spacing w:before="0" w:line="360" w:lineRule="auto"/>
              <w:ind w:firstLine="482" w:firstLineChars="200"/>
              <w:jc w:val="both"/>
              <w:rPr>
                <w:rFonts w:ascii="宋体" w:hAnsi="宋体" w:eastAsia="宋体" w:cs="宋体"/>
                <w:sz w:val="24"/>
                <w:szCs w:val="24"/>
              </w:rPr>
            </w:pPr>
            <w:r>
              <w:rPr>
                <w:rStyle w:val="13"/>
                <w:rFonts w:ascii="宋体" w:hAnsi="宋体" w:eastAsia="宋体" w:cs="宋体"/>
                <w:b/>
                <w:sz w:val="24"/>
                <w:szCs w:val="24"/>
              </w:rPr>
              <w:t>3</w:t>
            </w:r>
            <w:r>
              <w:rPr>
                <w:rStyle w:val="13"/>
                <w:rFonts w:hint="eastAsia" w:ascii="宋体" w:hAnsi="宋体" w:eastAsia="宋体" w:cs="宋体"/>
                <w:b/>
                <w:sz w:val="24"/>
                <w:szCs w:val="24"/>
              </w:rPr>
              <w:t>）行动研究法。</w:t>
            </w:r>
            <w:r>
              <w:rPr>
                <w:rStyle w:val="13"/>
                <w:rFonts w:hint="eastAsia" w:ascii="宋体" w:hAnsi="宋体" w:eastAsia="宋体" w:cs="宋体"/>
                <w:sz w:val="24"/>
                <w:szCs w:val="24"/>
              </w:rPr>
              <w:t>结合借助思政类课程教学模式改革后实现高校学生资助管理效率改变的具体实践，旨在自然、真实的高校思政类课程教学环境中，与相关学者及专家一起进行合作，实现高校学生资助管理效率有效改善的目的。</w:t>
            </w:r>
          </w:p>
          <w:p>
            <w:pPr>
              <w:spacing w:line="420" w:lineRule="exact"/>
              <w:ind w:firstLine="482" w:firstLineChars="200"/>
              <w:rPr>
                <w:rFonts w:ascii="黑体" w:hAnsi="黑体" w:eastAsia="黑体"/>
                <w:b/>
                <w:sz w:val="24"/>
                <w:szCs w:val="24"/>
              </w:rPr>
            </w:pPr>
            <w:r>
              <w:rPr>
                <w:rFonts w:ascii="黑体" w:hAnsi="黑体" w:eastAsia="黑体"/>
                <w:b/>
                <w:sz w:val="24"/>
                <w:szCs w:val="24"/>
              </w:rPr>
              <w:t>2</w:t>
            </w:r>
            <w:r>
              <w:rPr>
                <w:rFonts w:hint="eastAsia" w:ascii="黑体" w:hAnsi="黑体" w:eastAsia="黑体"/>
                <w:b/>
                <w:sz w:val="24"/>
                <w:szCs w:val="24"/>
              </w:rPr>
              <w:t>、可行性分析</w:t>
            </w:r>
            <w:r>
              <w:rPr>
                <w:rFonts w:ascii="黑体" w:hAnsi="黑体" w:eastAsia="黑体"/>
                <w:b/>
                <w:sz w:val="24"/>
                <w:szCs w:val="24"/>
              </w:rPr>
              <w:t xml:space="preserve"> </w:t>
            </w:r>
          </w:p>
          <w:p>
            <w:pPr>
              <w:spacing w:line="360" w:lineRule="auto"/>
              <w:ind w:firstLine="482" w:firstLineChars="200"/>
              <w:jc w:val="left"/>
              <w:rPr>
                <w:rFonts w:ascii="宋体"/>
                <w:b/>
                <w:sz w:val="24"/>
                <w:szCs w:val="24"/>
              </w:rPr>
            </w:pPr>
            <w:r>
              <w:rPr>
                <w:rFonts w:ascii="宋体" w:hAnsi="宋体"/>
                <w:b/>
                <w:sz w:val="24"/>
                <w:szCs w:val="24"/>
              </w:rPr>
              <w:t>1</w:t>
            </w:r>
            <w:r>
              <w:rPr>
                <w:rFonts w:hint="eastAsia" w:ascii="宋体" w:hAnsi="宋体"/>
                <w:b/>
                <w:sz w:val="24"/>
                <w:szCs w:val="24"/>
              </w:rPr>
              <w:t>）课题研究前期</w:t>
            </w:r>
          </w:p>
          <w:p>
            <w:pPr>
              <w:spacing w:line="360" w:lineRule="auto"/>
              <w:ind w:firstLine="480" w:firstLineChars="200"/>
              <w:jc w:val="left"/>
              <w:rPr>
                <w:rFonts w:ascii="宋体"/>
                <w:sz w:val="24"/>
                <w:szCs w:val="24"/>
              </w:rPr>
            </w:pPr>
            <w:r>
              <w:rPr>
                <w:rFonts w:hint="eastAsia" w:ascii="宋体" w:hAnsi="宋体"/>
                <w:sz w:val="24"/>
                <w:szCs w:val="24"/>
              </w:rPr>
              <w:t>首先着手进行课题组的成立，收集有关借助思政教育进课堂、进课程教学模式改革后实现高校学生资助管理效率有效改善的相关资料，安排课题组成员进行思政教育进课堂、进课程教学实践经验的总结和交流。</w:t>
            </w:r>
          </w:p>
          <w:p>
            <w:pPr>
              <w:spacing w:line="360" w:lineRule="auto"/>
              <w:ind w:firstLine="482" w:firstLineChars="200"/>
              <w:jc w:val="left"/>
              <w:rPr>
                <w:rFonts w:ascii="宋体" w:hAnsi="宋体"/>
                <w:b/>
                <w:sz w:val="24"/>
                <w:szCs w:val="24"/>
              </w:rPr>
            </w:pPr>
            <w:r>
              <w:rPr>
                <w:rFonts w:ascii="宋体" w:hAnsi="宋体"/>
                <w:b/>
                <w:sz w:val="24"/>
                <w:szCs w:val="24"/>
              </w:rPr>
              <w:t>2</w:t>
            </w:r>
            <w:r>
              <w:rPr>
                <w:rFonts w:hint="eastAsia" w:ascii="宋体" w:hAnsi="宋体"/>
                <w:b/>
                <w:sz w:val="24"/>
                <w:szCs w:val="24"/>
              </w:rPr>
              <w:t>）课题研究实践中期</w:t>
            </w:r>
          </w:p>
          <w:p>
            <w:pPr>
              <w:spacing w:line="360" w:lineRule="auto"/>
              <w:ind w:firstLine="480" w:firstLineChars="200"/>
              <w:jc w:val="left"/>
              <w:rPr>
                <w:rFonts w:ascii="宋体"/>
                <w:sz w:val="24"/>
                <w:szCs w:val="24"/>
              </w:rPr>
            </w:pPr>
            <w:r>
              <w:rPr>
                <w:rFonts w:hint="eastAsia" w:ascii="宋体" w:hAnsi="宋体"/>
                <w:sz w:val="24"/>
                <w:szCs w:val="24"/>
              </w:rPr>
              <w:t>根据前期收集的相关资料，编制有关调查问卷，对师生进行调查，了解高校学生资助管理情况。在调查资料的基础上进行课题立项，确定研究方向、研究内容，并在实际开展过程中对实施方案进行调整。组织教师开展互评的活动，在此基础上找出切实可行的解决措施。</w:t>
            </w:r>
          </w:p>
          <w:p>
            <w:pPr>
              <w:spacing w:line="360" w:lineRule="auto"/>
              <w:ind w:firstLine="482" w:firstLineChars="200"/>
              <w:jc w:val="left"/>
              <w:rPr>
                <w:rFonts w:ascii="宋体" w:hAnsi="宋体"/>
                <w:b/>
                <w:sz w:val="24"/>
                <w:szCs w:val="24"/>
              </w:rPr>
            </w:pPr>
            <w:r>
              <w:rPr>
                <w:rFonts w:ascii="宋体" w:hAnsi="宋体"/>
                <w:b/>
                <w:sz w:val="24"/>
                <w:szCs w:val="24"/>
              </w:rPr>
              <w:t>3</w:t>
            </w:r>
            <w:r>
              <w:rPr>
                <w:rFonts w:hint="eastAsia" w:ascii="宋体" w:hAnsi="宋体"/>
                <w:b/>
                <w:sz w:val="24"/>
                <w:szCs w:val="24"/>
              </w:rPr>
              <w:t>）课题研究总结后期</w:t>
            </w:r>
          </w:p>
          <w:p>
            <w:pPr>
              <w:spacing w:line="360" w:lineRule="auto"/>
              <w:ind w:firstLine="480" w:firstLineChars="200"/>
              <w:rPr>
                <w:rFonts w:ascii="宋体"/>
                <w:b/>
                <w:bCs/>
                <w:sz w:val="24"/>
                <w:szCs w:val="24"/>
              </w:rPr>
            </w:pPr>
            <w:r>
              <w:rPr>
                <w:rFonts w:hint="eastAsia" w:ascii="宋体" w:hAnsi="宋体"/>
                <w:sz w:val="24"/>
                <w:szCs w:val="24"/>
              </w:rPr>
              <w:t>主要进行的是数据资料的收集和整理，形成融入思政教育的高校学生资助管理体系研究的报告。撰写结题报告、论文。</w:t>
            </w:r>
          </w:p>
          <w:p>
            <w:pPr>
              <w:spacing w:line="420" w:lineRule="exact"/>
              <w:ind w:right="57"/>
              <w:rPr>
                <w:rFonts w:ascii="黑体" w:hAnsi="黑体" w:eastAsia="黑体"/>
                <w:b/>
                <w:sz w:val="28"/>
                <w:szCs w:val="28"/>
              </w:rPr>
            </w:pPr>
            <w:r>
              <w:rPr>
                <w:rFonts w:hint="eastAsia" w:ascii="黑体" w:hAnsi="黑体" w:eastAsia="黑体"/>
                <w:b/>
                <w:sz w:val="28"/>
                <w:szCs w:val="28"/>
              </w:rPr>
              <w:t>（三）本项目的创新之处</w:t>
            </w:r>
          </w:p>
          <w:p>
            <w:pPr>
              <w:spacing w:line="360" w:lineRule="auto"/>
              <w:ind w:firstLine="482" w:firstLineChars="200"/>
              <w:rPr>
                <w:rFonts w:ascii="宋体"/>
                <w:b/>
                <w:bCs/>
                <w:sz w:val="24"/>
                <w:szCs w:val="24"/>
              </w:rPr>
            </w:pPr>
            <w:r>
              <w:rPr>
                <w:rFonts w:ascii="宋体" w:hAnsi="宋体"/>
                <w:b/>
                <w:bCs/>
                <w:sz w:val="24"/>
                <w:szCs w:val="24"/>
              </w:rPr>
              <w:t>1</w:t>
            </w:r>
            <w:r>
              <w:rPr>
                <w:rFonts w:hint="eastAsia" w:ascii="宋体" w:hAnsi="宋体"/>
                <w:b/>
                <w:bCs/>
                <w:sz w:val="24"/>
                <w:szCs w:val="24"/>
              </w:rPr>
              <w:t>、学术思想创新</w:t>
            </w:r>
          </w:p>
          <w:p>
            <w:pPr>
              <w:spacing w:line="360" w:lineRule="auto"/>
              <w:ind w:firstLine="480" w:firstLineChars="200"/>
              <w:rPr>
                <w:rFonts w:ascii="宋体"/>
                <w:sz w:val="24"/>
                <w:szCs w:val="24"/>
              </w:rPr>
            </w:pPr>
            <w:r>
              <w:rPr>
                <w:rFonts w:hint="eastAsia" w:ascii="宋体" w:hAnsi="宋体"/>
                <w:sz w:val="24"/>
                <w:szCs w:val="24"/>
              </w:rPr>
              <w:t>本课题是在建构主义理论、生本主义理念和社会适应理论指导下开展的，在这些系统理论指导下，结合高校被资助学生身心发展规律和个体差异制定借助思政教育进课堂、进课程改革模式促进学生资助管理效率有效改善的策略探索，促进不同经济困难程度的学生政治思想素养的提升，从这一点出发，本课题在学术思想方面有很重要的创新价值。</w:t>
            </w:r>
          </w:p>
          <w:p>
            <w:pPr>
              <w:spacing w:line="360" w:lineRule="auto"/>
              <w:ind w:firstLine="482" w:firstLineChars="200"/>
              <w:rPr>
                <w:rFonts w:ascii="宋体"/>
                <w:b/>
                <w:bCs/>
                <w:sz w:val="24"/>
                <w:szCs w:val="24"/>
              </w:rPr>
            </w:pPr>
            <w:r>
              <w:rPr>
                <w:rFonts w:ascii="宋体" w:hAnsi="宋体"/>
                <w:b/>
                <w:bCs/>
                <w:sz w:val="24"/>
                <w:szCs w:val="24"/>
              </w:rPr>
              <w:t>2</w:t>
            </w:r>
            <w:r>
              <w:rPr>
                <w:rFonts w:hint="eastAsia" w:ascii="宋体" w:hAnsi="宋体"/>
                <w:b/>
                <w:bCs/>
                <w:sz w:val="24"/>
                <w:szCs w:val="24"/>
              </w:rPr>
              <w:t>、学术观点创新</w:t>
            </w:r>
          </w:p>
          <w:p>
            <w:pPr>
              <w:spacing w:line="360" w:lineRule="auto"/>
              <w:ind w:firstLine="480" w:firstLineChars="200"/>
              <w:rPr>
                <w:rFonts w:ascii="宋体"/>
                <w:sz w:val="24"/>
                <w:szCs w:val="24"/>
              </w:rPr>
            </w:pPr>
            <w:r>
              <w:rPr>
                <w:rFonts w:hint="eastAsia" w:ascii="宋体" w:hAnsi="宋体"/>
                <w:sz w:val="24"/>
                <w:szCs w:val="24"/>
              </w:rPr>
              <w:t>本课题提出的观点是借助思政教育进课堂、进课程教学模式改革后促进高校学生资助管理效率改善，让真正贫因的学生在得到资助的同时提升自己的政治素养，培养他们的感恩之心，增强他们的自信心，让他们心怀感恩之心努力学习，为社会培养有用之才奠定坚实的基础。</w:t>
            </w:r>
          </w:p>
          <w:p>
            <w:pPr>
              <w:spacing w:line="360" w:lineRule="auto"/>
              <w:ind w:left="420"/>
              <w:rPr>
                <w:rFonts w:ascii="宋体"/>
                <w:b/>
                <w:bCs/>
                <w:sz w:val="24"/>
                <w:szCs w:val="24"/>
              </w:rPr>
            </w:pPr>
            <w:r>
              <w:rPr>
                <w:rFonts w:ascii="宋体" w:hAnsi="宋体"/>
                <w:b/>
                <w:bCs/>
                <w:sz w:val="24"/>
                <w:szCs w:val="24"/>
              </w:rPr>
              <w:t>3</w:t>
            </w:r>
            <w:r>
              <w:rPr>
                <w:rFonts w:hint="eastAsia" w:ascii="宋体" w:hAnsi="宋体"/>
                <w:b/>
                <w:bCs/>
                <w:sz w:val="24"/>
                <w:szCs w:val="24"/>
              </w:rPr>
              <w:t>、研究方法创新</w:t>
            </w:r>
          </w:p>
          <w:p>
            <w:pPr>
              <w:spacing w:line="360" w:lineRule="auto"/>
              <w:ind w:firstLine="480" w:firstLineChars="200"/>
              <w:rPr>
                <w:sz w:val="24"/>
                <w:szCs w:val="24"/>
              </w:rPr>
            </w:pPr>
            <w:r>
              <w:rPr>
                <w:rFonts w:hint="eastAsia" w:ascii="宋体" w:hAnsi="宋体"/>
                <w:sz w:val="24"/>
                <w:szCs w:val="24"/>
              </w:rPr>
              <w:t>为了确保课题的顺利开展，本课题在不同阶段综合使用了不同的研究方法，在前期主要运用了文献研究法查阅有关在借助思政类课程教学模式改革后促进学生资助管理效率改善的相关文献，收集典型理论。在研究中期，运用问卷调查法、行动研究法开展调研，将研究方案进行实施，使得理论和实践进行结合。在研究后期，使用经验研究法，对课题研究过程中出现的问题进行总结，实现课题研究价值最大化。因此本课题在研究方法方面有很大创新价值。</w:t>
            </w:r>
          </w:p>
          <w:p>
            <w:pPr>
              <w:spacing w:line="420" w:lineRule="exact"/>
              <w:rPr>
                <w:rFonts w:ascii="宋体"/>
                <w:sz w:val="24"/>
              </w:rPr>
            </w:pPr>
          </w:p>
          <w:p>
            <w:pPr>
              <w:spacing w:line="420" w:lineRule="exact"/>
              <w:rPr>
                <w:rFonts w:ascii="黑体" w:hAnsi="黑体" w:eastAsia="黑体"/>
                <w:b/>
                <w:sz w:val="28"/>
                <w:szCs w:val="28"/>
              </w:rPr>
            </w:pPr>
            <w:r>
              <w:rPr>
                <w:rFonts w:hint="eastAsia" w:ascii="黑体" w:hAnsi="黑体" w:eastAsia="黑体"/>
                <w:b/>
                <w:sz w:val="28"/>
                <w:szCs w:val="28"/>
              </w:rPr>
              <w:t>（四）预期研究进展</w:t>
            </w:r>
          </w:p>
          <w:p>
            <w:pPr>
              <w:spacing w:line="360" w:lineRule="auto"/>
              <w:ind w:left="420"/>
              <w:rPr>
                <w:rFonts w:ascii="宋体"/>
                <w:sz w:val="24"/>
                <w:szCs w:val="24"/>
              </w:rPr>
            </w:pPr>
            <w:r>
              <w:rPr>
                <w:rFonts w:ascii="宋体" w:hAnsi="宋体"/>
                <w:sz w:val="24"/>
                <w:szCs w:val="24"/>
              </w:rPr>
              <w:t>2020</w:t>
            </w:r>
            <w:r>
              <w:rPr>
                <w:rFonts w:hint="eastAsia" w:ascii="宋体" w:hAnsi="宋体"/>
                <w:sz w:val="24"/>
                <w:szCs w:val="24"/>
              </w:rPr>
              <w:t>年</w:t>
            </w:r>
            <w:r>
              <w:rPr>
                <w:rFonts w:ascii="宋体" w:hAnsi="宋体"/>
                <w:sz w:val="24"/>
                <w:szCs w:val="24"/>
              </w:rPr>
              <w:t>10</w:t>
            </w:r>
            <w:r>
              <w:rPr>
                <w:rFonts w:hint="eastAsia" w:ascii="宋体" w:hAnsi="宋体"/>
                <w:sz w:val="24"/>
                <w:szCs w:val="24"/>
              </w:rPr>
              <w:t>月启动研究，</w:t>
            </w:r>
            <w:r>
              <w:rPr>
                <w:rFonts w:ascii="宋体" w:hAnsi="宋体"/>
                <w:sz w:val="24"/>
                <w:szCs w:val="24"/>
              </w:rPr>
              <w:t>2022</w:t>
            </w:r>
            <w:r>
              <w:rPr>
                <w:rFonts w:hint="eastAsia" w:ascii="宋体" w:hAnsi="宋体"/>
                <w:sz w:val="24"/>
                <w:szCs w:val="24"/>
              </w:rPr>
              <w:t>年</w:t>
            </w:r>
            <w:r>
              <w:rPr>
                <w:rFonts w:ascii="宋体" w:hAnsi="宋体"/>
                <w:sz w:val="24"/>
                <w:szCs w:val="24"/>
              </w:rPr>
              <w:t>10</w:t>
            </w:r>
            <w:r>
              <w:rPr>
                <w:rFonts w:hint="eastAsia" w:ascii="宋体" w:hAnsi="宋体"/>
                <w:sz w:val="24"/>
                <w:szCs w:val="24"/>
              </w:rPr>
              <w:t>月结题，研究周期</w:t>
            </w:r>
            <w:r>
              <w:rPr>
                <w:rFonts w:ascii="宋体" w:hAnsi="宋体"/>
                <w:sz w:val="24"/>
                <w:szCs w:val="24"/>
              </w:rPr>
              <w:t>2</w:t>
            </w:r>
            <w:r>
              <w:rPr>
                <w:rFonts w:hint="eastAsia" w:ascii="宋体" w:hAnsi="宋体"/>
                <w:sz w:val="24"/>
                <w:szCs w:val="24"/>
              </w:rPr>
              <w:t>年。</w:t>
            </w:r>
          </w:p>
          <w:p>
            <w:pPr>
              <w:spacing w:line="360" w:lineRule="auto"/>
              <w:ind w:firstLine="480" w:firstLineChars="200"/>
              <w:rPr>
                <w:rFonts w:ascii="宋体"/>
                <w:sz w:val="24"/>
                <w:szCs w:val="24"/>
              </w:rPr>
            </w:pPr>
            <w:r>
              <w:rPr>
                <w:rFonts w:hint="eastAsia" w:ascii="宋体" w:hAnsi="宋体"/>
                <w:sz w:val="24"/>
                <w:szCs w:val="24"/>
              </w:rPr>
              <w:t>第一阶段设计准备阶段（</w:t>
            </w:r>
            <w:r>
              <w:rPr>
                <w:rFonts w:ascii="宋体" w:hAnsi="宋体"/>
                <w:sz w:val="24"/>
                <w:szCs w:val="24"/>
              </w:rPr>
              <w:t>2020</w:t>
            </w:r>
            <w:r>
              <w:rPr>
                <w:rFonts w:hint="eastAsia" w:ascii="宋体" w:hAnsi="宋体"/>
                <w:sz w:val="24"/>
                <w:szCs w:val="24"/>
              </w:rPr>
              <w:t>年</w:t>
            </w:r>
            <w:r>
              <w:rPr>
                <w:rFonts w:ascii="宋体" w:hAnsi="宋体"/>
                <w:sz w:val="24"/>
                <w:szCs w:val="24"/>
              </w:rPr>
              <w:t>12</w:t>
            </w:r>
            <w:r>
              <w:rPr>
                <w:rFonts w:hint="eastAsia" w:ascii="宋体" w:hAnsi="宋体"/>
                <w:sz w:val="24"/>
                <w:szCs w:val="24"/>
              </w:rPr>
              <w:t>月至</w:t>
            </w:r>
            <w:r>
              <w:rPr>
                <w:rFonts w:ascii="宋体" w:hAnsi="宋体"/>
                <w:sz w:val="24"/>
                <w:szCs w:val="24"/>
              </w:rPr>
              <w:t>2021</w:t>
            </w:r>
            <w:r>
              <w:rPr>
                <w:rFonts w:hint="eastAsia" w:ascii="宋体" w:hAnsi="宋体"/>
                <w:sz w:val="24"/>
                <w:szCs w:val="24"/>
              </w:rPr>
              <w:t>年</w:t>
            </w:r>
            <w:r>
              <w:rPr>
                <w:rFonts w:ascii="宋体" w:hAnsi="宋体"/>
                <w:sz w:val="24"/>
                <w:szCs w:val="24"/>
              </w:rPr>
              <w:t>3</w:t>
            </w:r>
            <w:r>
              <w:rPr>
                <w:rFonts w:hint="eastAsia" w:ascii="宋体" w:hAnsi="宋体"/>
                <w:sz w:val="24"/>
                <w:szCs w:val="24"/>
              </w:rPr>
              <w:t>月）：在此期间，组建团队，进行调查和可行性分析，并收集、整理相关资料，理清思路，完成基础工作。</w:t>
            </w:r>
          </w:p>
          <w:p>
            <w:pPr>
              <w:spacing w:line="360" w:lineRule="auto"/>
              <w:ind w:firstLine="480" w:firstLineChars="200"/>
              <w:rPr>
                <w:rFonts w:ascii="宋体"/>
                <w:sz w:val="24"/>
                <w:szCs w:val="24"/>
              </w:rPr>
            </w:pPr>
            <w:r>
              <w:rPr>
                <w:rFonts w:hint="eastAsia" w:ascii="宋体" w:hAnsi="宋体"/>
                <w:sz w:val="24"/>
                <w:szCs w:val="24"/>
              </w:rPr>
              <w:t>第二阶段调查分析阶段（</w:t>
            </w:r>
            <w:r>
              <w:rPr>
                <w:rFonts w:ascii="宋体" w:hAnsi="宋体"/>
                <w:sz w:val="24"/>
                <w:szCs w:val="24"/>
              </w:rPr>
              <w:t>2021</w:t>
            </w:r>
            <w:r>
              <w:rPr>
                <w:rFonts w:hint="eastAsia" w:ascii="宋体" w:hAnsi="宋体"/>
                <w:sz w:val="24"/>
                <w:szCs w:val="24"/>
              </w:rPr>
              <w:t>年</w:t>
            </w:r>
            <w:r>
              <w:rPr>
                <w:rFonts w:ascii="宋体" w:hAnsi="宋体"/>
                <w:sz w:val="24"/>
                <w:szCs w:val="24"/>
              </w:rPr>
              <w:t>4</w:t>
            </w:r>
            <w:r>
              <w:rPr>
                <w:rFonts w:hint="eastAsia" w:ascii="宋体" w:hAnsi="宋体"/>
                <w:sz w:val="24"/>
                <w:szCs w:val="24"/>
              </w:rPr>
              <w:t>月至</w:t>
            </w:r>
            <w:r>
              <w:rPr>
                <w:rFonts w:ascii="宋体" w:hAnsi="宋体"/>
                <w:sz w:val="24"/>
                <w:szCs w:val="24"/>
              </w:rPr>
              <w:t>2021</w:t>
            </w:r>
            <w:r>
              <w:rPr>
                <w:rFonts w:hint="eastAsia" w:ascii="宋体" w:hAnsi="宋体"/>
                <w:sz w:val="24"/>
                <w:szCs w:val="24"/>
              </w:rPr>
              <w:t>年</w:t>
            </w:r>
            <w:r>
              <w:rPr>
                <w:rFonts w:ascii="宋体" w:hAnsi="宋体"/>
                <w:sz w:val="24"/>
                <w:szCs w:val="24"/>
              </w:rPr>
              <w:t>8</w:t>
            </w:r>
            <w:r>
              <w:rPr>
                <w:rFonts w:hint="eastAsia" w:ascii="宋体" w:hAnsi="宋体"/>
                <w:sz w:val="24"/>
                <w:szCs w:val="24"/>
              </w:rPr>
              <w:t>月）：在此期间，落实分工，通过资料分析与调查统计相结合，制定融入思政教育后高校学生资助管理体系改善的的调查问卷，通过实际调查之后对相关研究结果进行验证，并对研究策略实施之后取得的效果进行调查与分析；</w:t>
            </w:r>
          </w:p>
          <w:p>
            <w:pPr>
              <w:spacing w:line="360" w:lineRule="auto"/>
              <w:ind w:firstLine="480" w:firstLineChars="200"/>
              <w:rPr>
                <w:rFonts w:ascii="宋体"/>
                <w:sz w:val="24"/>
                <w:szCs w:val="24"/>
              </w:rPr>
            </w:pPr>
            <w:r>
              <w:rPr>
                <w:rFonts w:hint="eastAsia" w:ascii="宋体" w:hAnsi="宋体"/>
                <w:sz w:val="24"/>
                <w:szCs w:val="24"/>
              </w:rPr>
              <w:t>第三阶段综合研究阶段（</w:t>
            </w:r>
            <w:r>
              <w:rPr>
                <w:rFonts w:ascii="宋体" w:hAnsi="宋体"/>
                <w:sz w:val="24"/>
                <w:szCs w:val="24"/>
              </w:rPr>
              <w:t>2021</w:t>
            </w:r>
            <w:r>
              <w:rPr>
                <w:rFonts w:hint="eastAsia" w:ascii="宋体" w:hAnsi="宋体"/>
                <w:sz w:val="24"/>
                <w:szCs w:val="24"/>
              </w:rPr>
              <w:t>年</w:t>
            </w:r>
            <w:r>
              <w:rPr>
                <w:rFonts w:ascii="宋体" w:hAnsi="宋体"/>
                <w:sz w:val="24"/>
                <w:szCs w:val="24"/>
              </w:rPr>
              <w:t>9</w:t>
            </w:r>
            <w:r>
              <w:rPr>
                <w:rFonts w:hint="eastAsia" w:ascii="宋体" w:hAnsi="宋体"/>
                <w:sz w:val="24"/>
                <w:szCs w:val="24"/>
              </w:rPr>
              <w:t>月至</w:t>
            </w:r>
            <w:r>
              <w:rPr>
                <w:rFonts w:ascii="宋体" w:hAnsi="宋体"/>
                <w:sz w:val="24"/>
                <w:szCs w:val="24"/>
              </w:rPr>
              <w:t>2022</w:t>
            </w:r>
            <w:r>
              <w:rPr>
                <w:rFonts w:hint="eastAsia" w:ascii="宋体" w:hAnsi="宋体"/>
                <w:sz w:val="24"/>
                <w:szCs w:val="24"/>
              </w:rPr>
              <w:t>年</w:t>
            </w:r>
            <w:r>
              <w:rPr>
                <w:rFonts w:ascii="宋体" w:hAnsi="宋体"/>
                <w:sz w:val="24"/>
                <w:szCs w:val="24"/>
              </w:rPr>
              <w:t>6</w:t>
            </w:r>
            <w:r>
              <w:rPr>
                <w:rFonts w:hint="eastAsia" w:ascii="宋体" w:hAnsi="宋体"/>
                <w:sz w:val="24"/>
                <w:szCs w:val="24"/>
              </w:rPr>
              <w:t>月）：在前期研究的基础上对收集的资料和特殊案例进行总结和分析，主要是对课题前期研究过程中出现的问题进行分析并做出调整，召开中期报告会，这一阶段取得的成果可以为课题组成员的研究指明接下来的方向，通过中期报告的撰写可以为学校和课题主管部门提供有价值的参考；</w:t>
            </w:r>
          </w:p>
          <w:p>
            <w:pPr>
              <w:spacing w:line="360" w:lineRule="auto"/>
              <w:ind w:left="420"/>
              <w:rPr>
                <w:rFonts w:ascii="宋体"/>
                <w:sz w:val="24"/>
                <w:szCs w:val="24"/>
              </w:rPr>
            </w:pPr>
            <w:r>
              <w:rPr>
                <w:rFonts w:hint="eastAsia" w:ascii="宋体" w:hAnsi="宋体"/>
                <w:sz w:val="24"/>
                <w:szCs w:val="24"/>
              </w:rPr>
              <w:t>第四阶段结题阶段（</w:t>
            </w:r>
            <w:r>
              <w:rPr>
                <w:rFonts w:ascii="宋体" w:hAnsi="宋体"/>
                <w:sz w:val="24"/>
                <w:szCs w:val="24"/>
              </w:rPr>
              <w:t>2022</w:t>
            </w:r>
            <w:r>
              <w:rPr>
                <w:rFonts w:hint="eastAsia" w:ascii="宋体" w:hAnsi="宋体"/>
                <w:sz w:val="24"/>
                <w:szCs w:val="24"/>
              </w:rPr>
              <w:t>年</w:t>
            </w:r>
            <w:r>
              <w:rPr>
                <w:rFonts w:ascii="宋体" w:hAnsi="宋体"/>
                <w:sz w:val="24"/>
                <w:szCs w:val="24"/>
              </w:rPr>
              <w:t>7</w:t>
            </w:r>
            <w:r>
              <w:rPr>
                <w:rFonts w:hint="eastAsia" w:ascii="宋体" w:hAnsi="宋体"/>
                <w:sz w:val="24"/>
                <w:szCs w:val="24"/>
              </w:rPr>
              <w:t>月至</w:t>
            </w:r>
            <w:r>
              <w:rPr>
                <w:rFonts w:ascii="宋体" w:hAnsi="宋体"/>
                <w:sz w:val="24"/>
                <w:szCs w:val="24"/>
              </w:rPr>
              <w:t>2022</w:t>
            </w:r>
            <w:r>
              <w:rPr>
                <w:rFonts w:hint="eastAsia" w:ascii="宋体" w:hAnsi="宋体"/>
                <w:sz w:val="24"/>
                <w:szCs w:val="24"/>
              </w:rPr>
              <w:t>年</w:t>
            </w:r>
            <w:r>
              <w:rPr>
                <w:rFonts w:ascii="宋体" w:hAnsi="宋体"/>
                <w:sz w:val="24"/>
                <w:szCs w:val="24"/>
              </w:rPr>
              <w:t>10</w:t>
            </w:r>
            <w:r>
              <w:rPr>
                <w:rFonts w:hint="eastAsia" w:ascii="宋体" w:hAnsi="宋体"/>
                <w:sz w:val="24"/>
                <w:szCs w:val="24"/>
              </w:rPr>
              <w:t>月）：这一阶段主要是结合前期数据和资料的收集撰写研究论文和结题报告，为相关一线研究人员提供切实可行的借鉴和参考</w:t>
            </w:r>
          </w:p>
          <w:p>
            <w:pPr>
              <w:spacing w:line="420" w:lineRule="exact"/>
              <w:rPr>
                <w:rFonts w:ascii="黑体" w:hAnsi="黑体" w:eastAsia="黑体"/>
                <w:b/>
                <w:sz w:val="28"/>
                <w:szCs w:val="28"/>
              </w:rPr>
            </w:pPr>
            <w:r>
              <w:rPr>
                <w:rFonts w:hint="eastAsia" w:ascii="黑体" w:hAnsi="黑体" w:eastAsia="黑体"/>
                <w:b/>
                <w:sz w:val="28"/>
                <w:szCs w:val="28"/>
              </w:rPr>
              <w:t>（五）预期成果</w:t>
            </w:r>
          </w:p>
          <w:p>
            <w:pPr>
              <w:spacing w:line="360" w:lineRule="auto"/>
              <w:ind w:firstLine="480" w:firstLineChars="200"/>
              <w:rPr>
                <w:sz w:val="24"/>
                <w:szCs w:val="24"/>
              </w:rPr>
            </w:pPr>
            <w:r>
              <w:rPr>
                <w:rFonts w:ascii="宋体" w:hAnsi="宋体"/>
                <w:sz w:val="24"/>
                <w:szCs w:val="24"/>
              </w:rPr>
              <w:t>1</w:t>
            </w:r>
            <w:r>
              <w:rPr>
                <w:rFonts w:hint="eastAsia" w:ascii="宋体" w:hAnsi="宋体"/>
                <w:sz w:val="24"/>
                <w:szCs w:val="24"/>
              </w:rPr>
              <w:t>、研究论文：</w:t>
            </w:r>
            <w:r>
              <w:rPr>
                <w:rFonts w:hint="eastAsia"/>
                <w:sz w:val="24"/>
                <w:szCs w:val="24"/>
              </w:rPr>
              <w:t>融入思政教育的高校学生资助管理体系改善情况分析与研究</w:t>
            </w:r>
          </w:p>
          <w:p>
            <w:pPr>
              <w:spacing w:line="360" w:lineRule="auto"/>
              <w:ind w:firstLine="480" w:firstLineChars="200"/>
              <w:rPr>
                <w:rStyle w:val="13"/>
                <w:rFonts w:ascii="宋体" w:hAnsi="Calibri" w:eastAsia="宋体"/>
                <w:sz w:val="24"/>
                <w:szCs w:val="24"/>
                <w:lang w:val="zh-CN"/>
              </w:rPr>
            </w:pPr>
            <w:r>
              <w:rPr>
                <w:sz w:val="24"/>
                <w:szCs w:val="24"/>
              </w:rPr>
              <w:t>2</w:t>
            </w:r>
            <w:r>
              <w:rPr>
                <w:rFonts w:hint="eastAsia"/>
                <w:sz w:val="24"/>
                <w:szCs w:val="24"/>
              </w:rPr>
              <w:t>、调查报告：</w:t>
            </w:r>
            <w:r>
              <w:rPr>
                <w:rStyle w:val="13"/>
                <w:rFonts w:hint="eastAsia" w:ascii="宋体" w:hAnsi="宋体" w:eastAsia="宋体"/>
                <w:sz w:val="24"/>
                <w:szCs w:val="24"/>
                <w:lang w:val="zh-CN"/>
              </w:rPr>
              <w:t>高校学生资助管理体系的现状调查分析报告</w:t>
            </w:r>
          </w:p>
          <w:p>
            <w:pPr>
              <w:spacing w:line="360" w:lineRule="auto"/>
              <w:ind w:firstLine="480" w:firstLineChars="200"/>
              <w:rPr>
                <w:sz w:val="24"/>
                <w:szCs w:val="24"/>
              </w:rPr>
            </w:pPr>
            <w:r>
              <w:rPr>
                <w:rStyle w:val="13"/>
                <w:rFonts w:ascii="宋体" w:hAnsi="宋体" w:eastAsia="宋体"/>
                <w:sz w:val="24"/>
                <w:szCs w:val="24"/>
                <w:lang w:val="zh-CN"/>
              </w:rPr>
              <w:t>3</w:t>
            </w:r>
            <w:r>
              <w:rPr>
                <w:rStyle w:val="13"/>
                <w:rFonts w:hint="eastAsia" w:ascii="宋体" w:hAnsi="宋体" w:eastAsia="宋体"/>
                <w:sz w:val="24"/>
                <w:szCs w:val="24"/>
                <w:lang w:val="zh-CN"/>
              </w:rPr>
              <w:t>、结题报告：</w:t>
            </w:r>
            <w:r>
              <w:rPr>
                <w:rFonts w:hint="eastAsia"/>
                <w:sz w:val="24"/>
                <w:szCs w:val="24"/>
              </w:rPr>
              <w:t>融入思政教育的高校学生资助管理体系研究报告</w:t>
            </w:r>
          </w:p>
          <w:p>
            <w:pPr>
              <w:spacing w:line="420" w:lineRule="exact"/>
              <w:ind w:firstLine="361" w:firstLineChars="200"/>
              <w:rPr>
                <w:rFonts w:eastAsia="黑体"/>
                <w:b/>
                <w:bCs/>
                <w:sz w:val="18"/>
                <w:szCs w:val="18"/>
              </w:rPr>
            </w:pPr>
          </w:p>
          <w:p>
            <w:pPr>
              <w:spacing w:line="420" w:lineRule="exact"/>
              <w:ind w:firstLine="361" w:firstLineChars="200"/>
              <w:rPr>
                <w:rFonts w:eastAsia="黑体"/>
                <w:b/>
                <w:bCs/>
                <w:sz w:val="18"/>
                <w:szCs w:val="18"/>
              </w:rPr>
            </w:pPr>
          </w:p>
          <w:p>
            <w:pPr>
              <w:spacing w:line="420" w:lineRule="exact"/>
              <w:ind w:firstLine="361" w:firstLineChars="200"/>
              <w:rPr>
                <w:rFonts w:eastAsia="黑体"/>
                <w:b/>
                <w:bCs/>
                <w:sz w:val="18"/>
                <w:szCs w:val="18"/>
              </w:rPr>
            </w:pPr>
          </w:p>
        </w:tc>
      </w:tr>
    </w:tbl>
    <w:p>
      <w:pPr>
        <w:ind w:left="482" w:right="57" w:hanging="425"/>
        <w:rPr>
          <w:b/>
          <w:bCs/>
          <w:sz w:val="28"/>
          <w:szCs w:val="28"/>
        </w:rPr>
      </w:pPr>
    </w:p>
    <w:p>
      <w:pPr>
        <w:ind w:left="482" w:right="57" w:hanging="425"/>
        <w:rPr>
          <w:b/>
          <w:bCs/>
          <w:sz w:val="28"/>
          <w:szCs w:val="28"/>
        </w:rPr>
      </w:pPr>
      <w:r>
        <w:rPr>
          <w:b/>
          <w:bCs/>
          <w:sz w:val="28"/>
          <w:szCs w:val="28"/>
        </w:rPr>
        <w:br w:type="page"/>
      </w:r>
      <w:r>
        <w:rPr>
          <w:rFonts w:hint="eastAsia"/>
          <w:b/>
          <w:bCs/>
          <w:sz w:val="28"/>
          <w:szCs w:val="28"/>
        </w:rPr>
        <w:t>四、研究基础</w:t>
      </w:r>
    </w:p>
    <w:tbl>
      <w:tblPr>
        <w:tblStyle w:val="6"/>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1" w:type="dxa"/>
          </w:tcPr>
          <w:p>
            <w:pPr>
              <w:spacing w:before="120"/>
              <w:ind w:left="180" w:right="57" w:hanging="123"/>
            </w:pPr>
            <w:r>
              <w:rPr>
                <w:rFonts w:hint="eastAsia"/>
              </w:rPr>
              <w:t>与本项目有关的研究工作积累和已取得的研究工作成绩及目前承担项目的情况（项目负责人和其它成员情况分开填写并且项目、成果及奖励等须注明承担或完成人姓名等相关信息）</w:t>
            </w:r>
          </w:p>
          <w:p>
            <w:pPr>
              <w:spacing w:line="460" w:lineRule="exact"/>
              <w:rPr>
                <w:rFonts w:ascii="黑体" w:hAnsi="黑体" w:eastAsia="黑体"/>
                <w:b/>
                <w:sz w:val="28"/>
                <w:szCs w:val="28"/>
              </w:rPr>
            </w:pPr>
            <w:r>
              <w:rPr>
                <w:rFonts w:hint="eastAsia" w:ascii="黑体" w:hAnsi="黑体" w:eastAsia="黑体"/>
                <w:b/>
                <w:sz w:val="28"/>
                <w:szCs w:val="28"/>
              </w:rPr>
              <w:t>（一）项目负责人研究基础情况</w:t>
            </w:r>
          </w:p>
          <w:p>
            <w:pPr>
              <w:spacing w:line="360" w:lineRule="auto"/>
              <w:ind w:firstLine="480" w:firstLineChars="200"/>
              <w:rPr>
                <w:rFonts w:ascii="宋体" w:cs="Times New Roman"/>
                <w:sz w:val="24"/>
                <w:szCs w:val="24"/>
              </w:rPr>
            </w:pPr>
            <w:r>
              <w:rPr>
                <w:rFonts w:hint="eastAsia" w:ascii="宋体" w:hAnsi="宋体" w:cs="Times New Roman"/>
                <w:sz w:val="24"/>
                <w:szCs w:val="24"/>
              </w:rPr>
              <w:t>本项目主持人李真西，本科学历，中级职称，从事职业教育工作近</w:t>
            </w:r>
            <w:r>
              <w:rPr>
                <w:rFonts w:ascii="宋体" w:hAnsi="宋体" w:cs="Times New Roman"/>
                <w:sz w:val="24"/>
                <w:szCs w:val="24"/>
              </w:rPr>
              <w:t>10</w:t>
            </w:r>
            <w:r>
              <w:rPr>
                <w:rFonts w:hint="eastAsia" w:ascii="宋体" w:hAnsi="宋体" w:cs="Times New Roman"/>
                <w:sz w:val="24"/>
                <w:szCs w:val="24"/>
              </w:rPr>
              <w:t>年，现任学校医药学院学工干事，对学生思想教育管理研究有一定的知识储备。主持院级课题</w:t>
            </w:r>
            <w:r>
              <w:rPr>
                <w:rFonts w:ascii="宋体" w:hAnsi="宋体" w:cs="Times New Roman"/>
                <w:sz w:val="24"/>
                <w:szCs w:val="24"/>
              </w:rPr>
              <w:t>1</w:t>
            </w:r>
            <w:r>
              <w:rPr>
                <w:rFonts w:hint="eastAsia" w:ascii="宋体" w:hAnsi="宋体" w:cs="Times New Roman"/>
                <w:sz w:val="24"/>
                <w:szCs w:val="24"/>
              </w:rPr>
              <w:t>项，参与省级课题</w:t>
            </w:r>
            <w:r>
              <w:rPr>
                <w:rFonts w:ascii="宋体" w:hAnsi="宋体" w:cs="Times New Roman"/>
                <w:sz w:val="24"/>
                <w:szCs w:val="24"/>
              </w:rPr>
              <w:t>1</w:t>
            </w:r>
            <w:r>
              <w:rPr>
                <w:rFonts w:hint="eastAsia" w:ascii="宋体" w:hAnsi="宋体" w:cs="Times New Roman"/>
                <w:sz w:val="24"/>
                <w:szCs w:val="24"/>
              </w:rPr>
              <w:t>项，公开发表学术论文</w:t>
            </w:r>
            <w:r>
              <w:rPr>
                <w:rFonts w:ascii="宋体" w:hAnsi="宋体" w:cs="Times New Roman"/>
                <w:sz w:val="24"/>
                <w:szCs w:val="24"/>
              </w:rPr>
              <w:t>2</w:t>
            </w:r>
            <w:r>
              <w:rPr>
                <w:rFonts w:hint="eastAsia" w:ascii="宋体" w:hAnsi="宋体" w:cs="Times New Roman"/>
                <w:sz w:val="24"/>
                <w:szCs w:val="24"/>
              </w:rPr>
              <w:t>篇，主编或参编教材</w:t>
            </w:r>
            <w:r>
              <w:rPr>
                <w:rFonts w:ascii="宋体" w:hAnsi="宋体" w:cs="Times New Roman"/>
                <w:sz w:val="24"/>
                <w:szCs w:val="24"/>
              </w:rPr>
              <w:t>2</w:t>
            </w:r>
            <w:r>
              <w:rPr>
                <w:rFonts w:hint="eastAsia" w:ascii="宋体" w:hAnsi="宋体" w:cs="Times New Roman"/>
                <w:sz w:val="24"/>
                <w:szCs w:val="24"/>
              </w:rPr>
              <w:t>部，具体情况如下：</w:t>
            </w:r>
          </w:p>
          <w:p>
            <w:pPr>
              <w:spacing w:line="460" w:lineRule="exact"/>
              <w:ind w:firstLine="482" w:firstLineChars="200"/>
              <w:rPr>
                <w:rFonts w:ascii="宋体"/>
                <w:b/>
                <w:sz w:val="24"/>
                <w:szCs w:val="24"/>
              </w:rPr>
            </w:pPr>
            <w:r>
              <w:rPr>
                <w:rFonts w:ascii="宋体" w:hAnsi="宋体"/>
                <w:b/>
                <w:sz w:val="24"/>
                <w:szCs w:val="24"/>
              </w:rPr>
              <w:t>1</w:t>
            </w:r>
            <w:r>
              <w:rPr>
                <w:rFonts w:hint="eastAsia" w:ascii="宋体" w:hAnsi="宋体"/>
                <w:b/>
                <w:sz w:val="24"/>
                <w:szCs w:val="24"/>
              </w:rPr>
              <w:t>、近几年来承担的相关学术研究项目：</w:t>
            </w:r>
          </w:p>
          <w:p>
            <w:pPr>
              <w:spacing w:line="360" w:lineRule="auto"/>
              <w:ind w:firstLine="480" w:firstLineChars="200"/>
              <w:rPr>
                <w:rFonts w:ascii="宋体" w:cs="Times New Roman"/>
                <w:sz w:val="24"/>
                <w:szCs w:val="24"/>
              </w:rPr>
            </w:pPr>
            <w:r>
              <w:rPr>
                <w:rFonts w:hint="eastAsia" w:ascii="宋体" w:hAnsi="宋体" w:cs="Times New Roman"/>
                <w:sz w:val="24"/>
                <w:szCs w:val="24"/>
              </w:rPr>
              <w:t>（</w:t>
            </w:r>
            <w:r>
              <w:rPr>
                <w:rFonts w:ascii="宋体" w:hAnsi="宋体" w:cs="Times New Roman"/>
                <w:sz w:val="24"/>
                <w:szCs w:val="24"/>
              </w:rPr>
              <w:t>1</w:t>
            </w:r>
            <w:r>
              <w:rPr>
                <w:rFonts w:hint="eastAsia" w:ascii="宋体" w:hAnsi="宋体" w:cs="Times New Roman"/>
                <w:sz w:val="24"/>
                <w:szCs w:val="24"/>
              </w:rPr>
              <w:t>）主持</w:t>
            </w:r>
            <w:r>
              <w:rPr>
                <w:rFonts w:ascii="宋体" w:hAnsi="宋体" w:cs="Times New Roman"/>
                <w:sz w:val="24"/>
                <w:szCs w:val="24"/>
              </w:rPr>
              <w:t>2014</w:t>
            </w:r>
            <w:r>
              <w:rPr>
                <w:rFonts w:hint="eastAsia" w:ascii="宋体" w:hAnsi="宋体" w:cs="Times New Roman"/>
                <w:sz w:val="24"/>
                <w:szCs w:val="24"/>
              </w:rPr>
              <w:t>年湖南应用技术学院科学研究项目《高效生物质直燃炉的开发及关键技术研究》（项目编号：</w:t>
            </w:r>
            <w:r>
              <w:rPr>
                <w:rFonts w:ascii="宋体" w:hAnsi="宋体" w:cs="Times New Roman"/>
                <w:sz w:val="24"/>
                <w:szCs w:val="24"/>
              </w:rPr>
              <w:t>14C0767</w:t>
            </w:r>
            <w:r>
              <w:rPr>
                <w:rFonts w:hint="eastAsia" w:ascii="宋体" w:hAnsi="宋体" w:cs="Times New Roman"/>
                <w:sz w:val="24"/>
                <w:szCs w:val="24"/>
              </w:rPr>
              <w:t>），已结题；</w:t>
            </w:r>
          </w:p>
          <w:p>
            <w:pPr>
              <w:spacing w:line="360" w:lineRule="auto"/>
              <w:ind w:firstLine="480" w:firstLineChars="200"/>
              <w:rPr>
                <w:rFonts w:ascii="宋体" w:cs="Times New Roman"/>
                <w:sz w:val="24"/>
                <w:szCs w:val="24"/>
              </w:rPr>
            </w:pPr>
            <w:r>
              <w:rPr>
                <w:rFonts w:hint="eastAsia" w:ascii="宋体" w:hAnsi="宋体" w:cs="Times New Roman"/>
                <w:sz w:val="24"/>
                <w:szCs w:val="24"/>
              </w:rPr>
              <w:t>（</w:t>
            </w:r>
            <w:r>
              <w:rPr>
                <w:rFonts w:ascii="宋体" w:hAnsi="宋体" w:cs="Times New Roman"/>
                <w:sz w:val="24"/>
                <w:szCs w:val="24"/>
              </w:rPr>
              <w:t>2</w:t>
            </w:r>
            <w:r>
              <w:rPr>
                <w:rFonts w:hint="eastAsia" w:ascii="宋体" w:hAnsi="宋体" w:cs="Times New Roman"/>
                <w:sz w:val="24"/>
                <w:szCs w:val="24"/>
              </w:rPr>
              <w:t>）参与</w:t>
            </w:r>
            <w:r>
              <w:rPr>
                <w:rFonts w:ascii="宋体" w:hAnsi="宋体" w:cs="Times New Roman"/>
                <w:sz w:val="24"/>
                <w:szCs w:val="24"/>
              </w:rPr>
              <w:t>2014</w:t>
            </w:r>
            <w:r>
              <w:rPr>
                <w:rFonts w:hint="eastAsia" w:ascii="宋体" w:hAnsi="宋体" w:cs="Times New Roman"/>
                <w:sz w:val="24"/>
                <w:szCs w:val="24"/>
              </w:rPr>
              <w:t>年湖南省教育厅科学研究项目《高效生物质直燃炉的开发及关键技术研究》（项目编号：</w:t>
            </w:r>
            <w:r>
              <w:rPr>
                <w:rFonts w:ascii="宋体" w:hAnsi="宋体" w:cs="Times New Roman"/>
                <w:sz w:val="24"/>
                <w:szCs w:val="24"/>
              </w:rPr>
              <w:t>14C0767</w:t>
            </w:r>
            <w:r>
              <w:rPr>
                <w:rFonts w:hint="eastAsia" w:ascii="宋体" w:hAnsi="宋体" w:cs="Times New Roman"/>
                <w:sz w:val="24"/>
                <w:szCs w:val="24"/>
              </w:rPr>
              <w:t>），已结题；</w:t>
            </w:r>
            <w:r>
              <w:rPr>
                <w:rFonts w:ascii="宋体" w:hAnsi="宋体" w:cs="Times New Roman"/>
                <w:sz w:val="24"/>
                <w:szCs w:val="24"/>
              </w:rPr>
              <w:t xml:space="preserve"> </w:t>
            </w:r>
            <w:r>
              <w:rPr>
                <w:rFonts w:hint="eastAsia" w:ascii="宋体" w:hAnsi="宋体" w:cs="Times New Roman"/>
                <w:sz w:val="24"/>
                <w:szCs w:val="24"/>
              </w:rPr>
              <w:t>湖南应用技术学院</w:t>
            </w:r>
            <w:r>
              <w:rPr>
                <w:rFonts w:ascii="宋体" w:hAnsi="宋体" w:cs="Times New Roman"/>
                <w:sz w:val="24"/>
                <w:szCs w:val="24"/>
              </w:rPr>
              <w:t>(XYBK2014002)</w:t>
            </w:r>
            <w:r>
              <w:rPr>
                <w:rFonts w:hint="eastAsia" w:ascii="宋体" w:hAnsi="宋体" w:cs="Times New Roman"/>
                <w:sz w:val="24"/>
                <w:szCs w:val="24"/>
              </w:rPr>
              <w:t>资助</w:t>
            </w:r>
          </w:p>
          <w:p>
            <w:pPr>
              <w:spacing w:line="460" w:lineRule="exact"/>
              <w:ind w:firstLine="482" w:firstLineChars="200"/>
              <w:rPr>
                <w:rFonts w:ascii="宋体"/>
                <w:b/>
                <w:sz w:val="24"/>
                <w:szCs w:val="24"/>
              </w:rPr>
            </w:pPr>
            <w:r>
              <w:rPr>
                <w:rFonts w:ascii="宋体" w:hAnsi="宋体"/>
                <w:b/>
                <w:sz w:val="24"/>
                <w:szCs w:val="24"/>
              </w:rPr>
              <w:t>2</w:t>
            </w:r>
            <w:r>
              <w:rPr>
                <w:rFonts w:hint="eastAsia" w:ascii="宋体" w:hAnsi="宋体"/>
                <w:b/>
                <w:sz w:val="24"/>
                <w:szCs w:val="24"/>
              </w:rPr>
              <w:t>、相关学术论文、著作、专利、成果奖励：</w:t>
            </w:r>
          </w:p>
          <w:p>
            <w:pPr>
              <w:spacing w:line="360" w:lineRule="auto"/>
              <w:ind w:firstLine="480" w:firstLineChars="200"/>
              <w:rPr>
                <w:rFonts w:ascii="宋体" w:cs="Times New Roman"/>
                <w:sz w:val="24"/>
                <w:szCs w:val="24"/>
              </w:rPr>
            </w:pPr>
            <w:r>
              <w:rPr>
                <w:rFonts w:hint="eastAsia" w:ascii="宋体" w:hAnsi="宋体" w:cs="Times New Roman"/>
                <w:sz w:val="24"/>
                <w:szCs w:val="24"/>
              </w:rPr>
              <w:t>（</w:t>
            </w:r>
            <w:r>
              <w:rPr>
                <w:rFonts w:ascii="宋体" w:hAnsi="宋体" w:cs="Times New Roman"/>
                <w:sz w:val="24"/>
                <w:szCs w:val="24"/>
              </w:rPr>
              <w:t>1</w:t>
            </w:r>
            <w:r>
              <w:rPr>
                <w:rFonts w:hint="eastAsia" w:ascii="宋体" w:hAnsi="宋体" w:cs="Times New Roman"/>
                <w:sz w:val="24"/>
                <w:szCs w:val="24"/>
              </w:rPr>
              <w:t>）发表论文：《高效生物质直燃炉的设计》</w:t>
            </w:r>
            <w:r>
              <w:rPr>
                <w:rFonts w:ascii="宋体" w:cs="Times New Roman"/>
                <w:sz w:val="24"/>
                <w:szCs w:val="24"/>
              </w:rPr>
              <w:t>.</w:t>
            </w:r>
            <w:r>
              <w:rPr>
                <w:rFonts w:hint="eastAsia" w:ascii="宋体" w:hAnsi="宋体" w:cs="Times New Roman"/>
                <w:sz w:val="24"/>
                <w:szCs w:val="24"/>
              </w:rPr>
              <w:t>装备制造技术</w:t>
            </w:r>
            <w:r>
              <w:rPr>
                <w:rFonts w:ascii="宋体" w:hAnsi="宋体" w:cs="Times New Roman"/>
                <w:sz w:val="24"/>
                <w:szCs w:val="24"/>
              </w:rPr>
              <w:t>,2017(05)</w:t>
            </w:r>
          </w:p>
          <w:p>
            <w:pPr>
              <w:spacing w:line="360" w:lineRule="auto"/>
              <w:ind w:firstLine="480" w:firstLineChars="200"/>
              <w:rPr>
                <w:rFonts w:ascii="宋体" w:cs="Times New Roman"/>
                <w:sz w:val="24"/>
                <w:szCs w:val="24"/>
              </w:rPr>
            </w:pPr>
            <w:r>
              <w:rPr>
                <w:rFonts w:hint="eastAsia" w:ascii="宋体" w:hAnsi="宋体" w:cs="Times New Roman"/>
                <w:sz w:val="24"/>
                <w:szCs w:val="24"/>
              </w:rPr>
              <w:t>（</w:t>
            </w:r>
            <w:r>
              <w:rPr>
                <w:rFonts w:ascii="宋体" w:hAnsi="宋体" w:cs="Times New Roman"/>
                <w:sz w:val="24"/>
                <w:szCs w:val="24"/>
              </w:rPr>
              <w:t>2</w:t>
            </w:r>
            <w:r>
              <w:rPr>
                <w:rFonts w:hint="eastAsia" w:ascii="宋体" w:hAnsi="宋体" w:cs="Times New Roman"/>
                <w:sz w:val="24"/>
                <w:szCs w:val="24"/>
              </w:rPr>
              <w:t>）发表论文：《颗粒床高温除尘器的研究及应用》，装备制造技术，</w:t>
            </w:r>
            <w:r>
              <w:rPr>
                <w:rFonts w:ascii="宋体" w:hAnsi="宋体" w:cs="Times New Roman"/>
                <w:sz w:val="24"/>
                <w:szCs w:val="24"/>
              </w:rPr>
              <w:t xml:space="preserve"> 2017(04)</w:t>
            </w:r>
            <w:r>
              <w:rPr>
                <w:rFonts w:hint="eastAsia" w:ascii="宋体" w:hAnsi="宋体" w:cs="Times New Roman"/>
                <w:sz w:val="24"/>
                <w:szCs w:val="24"/>
              </w:rPr>
              <w:t>。</w:t>
            </w:r>
          </w:p>
          <w:p>
            <w:pPr>
              <w:spacing w:line="460" w:lineRule="exact"/>
              <w:rPr>
                <w:rFonts w:ascii="黑体" w:hAnsi="黑体" w:eastAsia="黑体"/>
                <w:b/>
                <w:sz w:val="28"/>
                <w:szCs w:val="28"/>
              </w:rPr>
            </w:pPr>
            <w:r>
              <w:rPr>
                <w:rFonts w:hint="eastAsia" w:ascii="黑体" w:hAnsi="黑体" w:eastAsia="黑体"/>
                <w:b/>
                <w:sz w:val="28"/>
                <w:szCs w:val="28"/>
              </w:rPr>
              <w:t>（二）其他成员有关研究基础情况</w:t>
            </w:r>
          </w:p>
          <w:p>
            <w:pPr>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本项目参与者肖建凡，本科学历，中级职称，学校学生工作处处长，从事职业教育工作近</w:t>
            </w:r>
            <w:r>
              <w:rPr>
                <w:rFonts w:ascii="Times New Roman" w:hAnsi="Times New Roman" w:cs="Times New Roman"/>
                <w:sz w:val="24"/>
                <w:szCs w:val="24"/>
              </w:rPr>
              <w:t>20</w:t>
            </w:r>
            <w:r>
              <w:rPr>
                <w:rFonts w:hint="eastAsia" w:ascii="Times New Roman" w:hAnsi="Times New Roman" w:cs="Times New Roman"/>
                <w:sz w:val="24"/>
                <w:szCs w:val="24"/>
              </w:rPr>
              <w:t>年，对高职学生思想教育管理研究有一定的知识储备。公开发表学术论文</w:t>
            </w:r>
            <w:r>
              <w:rPr>
                <w:rFonts w:ascii="Times New Roman" w:hAnsi="Times New Roman" w:cs="Times New Roman"/>
                <w:sz w:val="24"/>
                <w:szCs w:val="24"/>
              </w:rPr>
              <w:t>4</w:t>
            </w:r>
            <w:r>
              <w:rPr>
                <w:rFonts w:hint="eastAsia" w:ascii="Times New Roman" w:hAnsi="Times New Roman" w:cs="Times New Roman"/>
                <w:sz w:val="24"/>
                <w:szCs w:val="24"/>
              </w:rPr>
              <w:t>篇（国家级</w:t>
            </w:r>
            <w:r>
              <w:rPr>
                <w:rFonts w:ascii="Times New Roman" w:hAnsi="Times New Roman" w:cs="Times New Roman"/>
                <w:sz w:val="24"/>
                <w:szCs w:val="24"/>
              </w:rPr>
              <w:t>4</w:t>
            </w:r>
            <w:r>
              <w:rPr>
                <w:rFonts w:hint="eastAsia" w:ascii="Times New Roman" w:hAnsi="Times New Roman" w:cs="Times New Roman"/>
                <w:sz w:val="24"/>
                <w:szCs w:val="24"/>
              </w:rPr>
              <w:t>篇），主编高等学校</w:t>
            </w:r>
            <w:r>
              <w:rPr>
                <w:rFonts w:ascii="Times New Roman" w:hAnsi="Times New Roman" w:cs="Times New Roman"/>
                <w:sz w:val="24"/>
                <w:szCs w:val="24"/>
              </w:rPr>
              <w:t>“</w:t>
            </w:r>
            <w:r>
              <w:rPr>
                <w:rFonts w:hint="eastAsia" w:ascii="Times New Roman" w:hAnsi="Times New Roman" w:cs="Times New Roman"/>
                <w:sz w:val="24"/>
                <w:szCs w:val="24"/>
              </w:rPr>
              <w:t>十二五</w:t>
            </w:r>
            <w:r>
              <w:rPr>
                <w:rFonts w:ascii="Times New Roman" w:hAnsi="Times New Roman" w:cs="Times New Roman"/>
                <w:sz w:val="24"/>
                <w:szCs w:val="24"/>
              </w:rPr>
              <w:t>”</w:t>
            </w:r>
            <w:r>
              <w:rPr>
                <w:rFonts w:hint="eastAsia" w:ascii="Times New Roman" w:hAnsi="Times New Roman" w:cs="Times New Roman"/>
                <w:sz w:val="24"/>
                <w:szCs w:val="24"/>
              </w:rPr>
              <w:t>规划教材</w:t>
            </w:r>
            <w:r>
              <w:rPr>
                <w:rFonts w:ascii="Times New Roman" w:hAnsi="Times New Roman" w:cs="Times New Roman"/>
                <w:sz w:val="24"/>
                <w:szCs w:val="24"/>
              </w:rPr>
              <w:t>2</w:t>
            </w:r>
            <w:r>
              <w:rPr>
                <w:rFonts w:hint="eastAsia" w:ascii="Times New Roman" w:hAnsi="Times New Roman" w:cs="Times New Roman"/>
                <w:sz w:val="24"/>
                <w:szCs w:val="24"/>
              </w:rPr>
              <w:t>部，主持、参与厅级课题</w:t>
            </w:r>
            <w:r>
              <w:rPr>
                <w:rFonts w:ascii="Times New Roman" w:hAnsi="Times New Roman" w:cs="Times New Roman"/>
                <w:sz w:val="24"/>
                <w:szCs w:val="24"/>
              </w:rPr>
              <w:t>3</w:t>
            </w:r>
            <w:r>
              <w:rPr>
                <w:rFonts w:hint="eastAsia" w:ascii="Times New Roman" w:hAnsi="Times New Roman" w:cs="Times New Roman"/>
                <w:sz w:val="24"/>
                <w:szCs w:val="24"/>
              </w:rPr>
              <w:t>项，主持并完成院级课题</w:t>
            </w:r>
            <w:r>
              <w:rPr>
                <w:rFonts w:ascii="Times New Roman" w:hAnsi="Times New Roman" w:cs="Times New Roman"/>
                <w:sz w:val="24"/>
                <w:szCs w:val="24"/>
              </w:rPr>
              <w:t>1</w:t>
            </w:r>
            <w:r>
              <w:rPr>
                <w:rFonts w:hint="eastAsia" w:ascii="Times New Roman" w:hAnsi="Times New Roman" w:cs="Times New Roman"/>
                <w:sz w:val="24"/>
                <w:szCs w:val="24"/>
              </w:rPr>
              <w:t>项。</w:t>
            </w:r>
          </w:p>
          <w:p>
            <w:pPr>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本项目参与者孙锦龙，本科学历，初级职称，医药学院学工副院长，从事职业教育工作10多年，对高职学生思想教育管理研究有一定的知识储备。公开发表学术论文2篇，主持、参与厅级课题1项。</w:t>
            </w:r>
          </w:p>
          <w:p>
            <w:pPr>
              <w:spacing w:line="440" w:lineRule="exact"/>
              <w:ind w:firstLine="480" w:firstLineChars="200"/>
              <w:rPr>
                <w:rFonts w:ascii="宋体" w:cs="Times New Roman"/>
                <w:sz w:val="24"/>
                <w:szCs w:val="24"/>
              </w:rPr>
            </w:pPr>
            <w:r>
              <w:rPr>
                <w:rFonts w:hint="eastAsia" w:ascii="宋体" w:hAnsi="宋体" w:cs="Times New Roman"/>
                <w:sz w:val="24"/>
                <w:szCs w:val="24"/>
              </w:rPr>
              <w:t>本项目参与者杨艳红，本科学历，讲师，学校辅导员兼英语教师，长期从事高职学生的思想政治教育和英语教学工作，参与省级课题</w:t>
            </w:r>
            <w:r>
              <w:rPr>
                <w:rFonts w:ascii="宋体" w:hAnsi="宋体" w:cs="Times New Roman"/>
                <w:sz w:val="24"/>
                <w:szCs w:val="24"/>
              </w:rPr>
              <w:t>1</w:t>
            </w:r>
            <w:r>
              <w:rPr>
                <w:rFonts w:hint="eastAsia" w:ascii="宋体" w:hAnsi="宋体" w:cs="Times New Roman"/>
                <w:sz w:val="24"/>
                <w:szCs w:val="24"/>
              </w:rPr>
              <w:t>个，公开发表学术论文</w:t>
            </w:r>
            <w:r>
              <w:rPr>
                <w:rFonts w:ascii="宋体" w:hAnsi="宋体" w:cs="Times New Roman"/>
                <w:sz w:val="24"/>
                <w:szCs w:val="24"/>
              </w:rPr>
              <w:t>3</w:t>
            </w:r>
            <w:r>
              <w:rPr>
                <w:rFonts w:hint="eastAsia" w:ascii="宋体" w:hAnsi="宋体" w:cs="Times New Roman"/>
                <w:sz w:val="24"/>
                <w:szCs w:val="24"/>
              </w:rPr>
              <w:t>篇，参与教材编写</w:t>
            </w:r>
            <w:r>
              <w:rPr>
                <w:rFonts w:ascii="宋体" w:hAnsi="宋体" w:cs="Times New Roman"/>
                <w:sz w:val="24"/>
                <w:szCs w:val="24"/>
              </w:rPr>
              <w:t>1</w:t>
            </w:r>
            <w:r>
              <w:rPr>
                <w:rFonts w:hint="eastAsia" w:ascii="宋体" w:hAnsi="宋体" w:cs="Times New Roman"/>
                <w:sz w:val="24"/>
                <w:szCs w:val="24"/>
              </w:rPr>
              <w:t>本。</w:t>
            </w:r>
          </w:p>
          <w:p>
            <w:pPr>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本项目参与者张琴，本科学历，人力资源管理师。研究方向教育管理，参与院级项目</w:t>
            </w:r>
            <w:r>
              <w:rPr>
                <w:rFonts w:ascii="Times New Roman" w:hAnsi="Times New Roman" w:cs="Times New Roman"/>
                <w:sz w:val="24"/>
                <w:szCs w:val="24"/>
              </w:rPr>
              <w:t>1</w:t>
            </w:r>
            <w:r>
              <w:rPr>
                <w:rFonts w:hint="eastAsia" w:ascii="Times New Roman" w:hAnsi="Times New Roman" w:cs="Times New Roman"/>
                <w:sz w:val="24"/>
                <w:szCs w:val="24"/>
              </w:rPr>
              <w:t>项，参与省厅级科研项目</w:t>
            </w:r>
            <w:r>
              <w:rPr>
                <w:rFonts w:ascii="Times New Roman" w:hAnsi="Times New Roman" w:cs="Times New Roman"/>
                <w:sz w:val="24"/>
                <w:szCs w:val="24"/>
              </w:rPr>
              <w:t>1</w:t>
            </w:r>
            <w:r>
              <w:rPr>
                <w:rFonts w:hint="eastAsia" w:ascii="Times New Roman" w:hAnsi="Times New Roman" w:cs="Times New Roman"/>
                <w:sz w:val="24"/>
                <w:szCs w:val="24"/>
              </w:rPr>
              <w:t>项，参与编写教材</w:t>
            </w:r>
            <w:r>
              <w:rPr>
                <w:rFonts w:ascii="Times New Roman" w:hAnsi="Times New Roman" w:cs="Times New Roman"/>
                <w:sz w:val="24"/>
                <w:szCs w:val="24"/>
              </w:rPr>
              <w:t>2</w:t>
            </w:r>
            <w:r>
              <w:rPr>
                <w:rFonts w:hint="eastAsia" w:ascii="Times New Roman" w:hAnsi="Times New Roman" w:cs="Times New Roman"/>
                <w:sz w:val="24"/>
                <w:szCs w:val="24"/>
              </w:rPr>
              <w:t>本。</w:t>
            </w:r>
          </w:p>
          <w:p>
            <w:pPr>
              <w:spacing w:line="440" w:lineRule="exact"/>
              <w:ind w:firstLine="480" w:firstLineChars="200"/>
              <w:rPr>
                <w:rFonts w:ascii="宋体"/>
                <w:color w:val="000000"/>
                <w:sz w:val="28"/>
                <w:szCs w:val="28"/>
              </w:rPr>
            </w:pPr>
            <w:r>
              <w:rPr>
                <w:rFonts w:hint="eastAsia" w:ascii="宋体" w:hAnsi="宋体" w:cs="Times New Roman"/>
                <w:sz w:val="24"/>
                <w:szCs w:val="24"/>
              </w:rPr>
              <w:t>本项目参与者刘钰洁，本科学历，助理讲师。研究方向教育教学管理，发表学术论文</w:t>
            </w:r>
            <w:r>
              <w:rPr>
                <w:rFonts w:ascii="宋体" w:hAnsi="宋体" w:cs="Times New Roman"/>
                <w:sz w:val="24"/>
                <w:szCs w:val="24"/>
              </w:rPr>
              <w:t>2</w:t>
            </w:r>
            <w:r>
              <w:rPr>
                <w:rFonts w:hint="eastAsia" w:ascii="宋体" w:hAnsi="宋体" w:cs="Times New Roman"/>
                <w:sz w:val="24"/>
                <w:szCs w:val="24"/>
              </w:rPr>
              <w:t>篇，参与院级项目</w:t>
            </w:r>
            <w:r>
              <w:rPr>
                <w:rFonts w:ascii="宋体" w:hAnsi="宋体" w:cs="Times New Roman"/>
                <w:sz w:val="24"/>
                <w:szCs w:val="24"/>
              </w:rPr>
              <w:t>1</w:t>
            </w:r>
            <w:r>
              <w:rPr>
                <w:rFonts w:hint="eastAsia" w:ascii="宋体" w:hAnsi="宋体" w:cs="Times New Roman"/>
                <w:sz w:val="24"/>
                <w:szCs w:val="24"/>
              </w:rPr>
              <w:t>项，参与省厅级科研项目</w:t>
            </w:r>
            <w:r>
              <w:rPr>
                <w:rFonts w:ascii="宋体" w:hAnsi="宋体" w:cs="Times New Roman"/>
                <w:sz w:val="24"/>
                <w:szCs w:val="24"/>
              </w:rPr>
              <w:t>1</w:t>
            </w:r>
            <w:r>
              <w:rPr>
                <w:rFonts w:hint="eastAsia" w:ascii="宋体" w:hAnsi="宋体" w:cs="Times New Roman"/>
                <w:sz w:val="24"/>
                <w:szCs w:val="24"/>
              </w:rPr>
              <w:t>项。</w:t>
            </w:r>
          </w:p>
          <w:p>
            <w:pPr>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本项目参与者朱菊香，本科学历，电子商务师。研究方向教育管理，发表论文</w:t>
            </w:r>
            <w:r>
              <w:rPr>
                <w:rFonts w:ascii="Times New Roman" w:hAnsi="Times New Roman" w:cs="Times New Roman"/>
                <w:sz w:val="24"/>
                <w:szCs w:val="24"/>
              </w:rPr>
              <w:t>3</w:t>
            </w:r>
            <w:r>
              <w:rPr>
                <w:rFonts w:hint="eastAsia" w:ascii="Times New Roman" w:hAnsi="Times New Roman" w:cs="Times New Roman"/>
                <w:sz w:val="24"/>
                <w:szCs w:val="24"/>
              </w:rPr>
              <w:t>篇，参与院级项目</w:t>
            </w:r>
            <w:r>
              <w:rPr>
                <w:rFonts w:ascii="Times New Roman" w:hAnsi="Times New Roman" w:cs="Times New Roman"/>
                <w:sz w:val="24"/>
                <w:szCs w:val="24"/>
              </w:rPr>
              <w:t>1</w:t>
            </w:r>
            <w:r>
              <w:rPr>
                <w:rFonts w:hint="eastAsia" w:ascii="Times New Roman" w:hAnsi="Times New Roman" w:cs="Times New Roman"/>
                <w:sz w:val="24"/>
                <w:szCs w:val="24"/>
              </w:rPr>
              <w:t>项，参与省厅级科研项目</w:t>
            </w:r>
            <w:r>
              <w:rPr>
                <w:rFonts w:ascii="Times New Roman" w:hAnsi="Times New Roman" w:cs="Times New Roman"/>
                <w:sz w:val="24"/>
                <w:szCs w:val="24"/>
              </w:rPr>
              <w:t>1</w:t>
            </w:r>
            <w:r>
              <w:rPr>
                <w:rFonts w:hint="eastAsia" w:ascii="Times New Roman" w:hAnsi="Times New Roman" w:cs="Times New Roman"/>
                <w:sz w:val="24"/>
                <w:szCs w:val="24"/>
              </w:rPr>
              <w:t>项。</w:t>
            </w:r>
          </w:p>
        </w:tc>
      </w:tr>
    </w:tbl>
    <w:p>
      <w:pPr>
        <w:spacing w:line="360" w:lineRule="auto"/>
        <w:ind w:left="341" w:right="57" w:hanging="284"/>
        <w:rPr>
          <w:sz w:val="28"/>
          <w:szCs w:val="28"/>
        </w:rPr>
      </w:pPr>
      <w:r>
        <w:rPr>
          <w:b/>
          <w:bCs/>
          <w:sz w:val="24"/>
          <w:szCs w:val="24"/>
        </w:rPr>
        <w:br w:type="page"/>
      </w:r>
      <w:r>
        <w:rPr>
          <w:b/>
          <w:bCs/>
          <w:sz w:val="24"/>
          <w:szCs w:val="24"/>
        </w:rPr>
        <w:t xml:space="preserve"> </w:t>
      </w:r>
      <w:r>
        <w:rPr>
          <w:rFonts w:hint="eastAsia" w:eastAsia="黑体" w:cs="黑体"/>
          <w:b/>
          <w:bCs/>
          <w:sz w:val="28"/>
          <w:szCs w:val="28"/>
        </w:rPr>
        <w:t>五、经费预算</w:t>
      </w:r>
    </w:p>
    <w:tbl>
      <w:tblPr>
        <w:tblStyle w:val="6"/>
        <w:tblW w:w="10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65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exact"/>
        </w:trPr>
        <w:tc>
          <w:tcPr>
            <w:tcW w:w="2070" w:type="dxa"/>
            <w:tcBorders>
              <w:top w:val="single" w:color="auto" w:sz="12" w:space="0"/>
            </w:tcBorders>
            <w:vAlign w:val="center"/>
          </w:tcPr>
          <w:p>
            <w:pPr>
              <w:jc w:val="center"/>
            </w:pPr>
            <w:r>
              <w:rPr>
                <w:rFonts w:hint="eastAsia"/>
              </w:rPr>
              <w:t>支</w:t>
            </w:r>
            <w:r>
              <w:t xml:space="preserve"> </w:t>
            </w:r>
            <w:r>
              <w:rPr>
                <w:rFonts w:hint="eastAsia"/>
              </w:rPr>
              <w:t>出</w:t>
            </w:r>
            <w:r>
              <w:t xml:space="preserve"> </w:t>
            </w:r>
            <w:r>
              <w:rPr>
                <w:rFonts w:hint="eastAsia"/>
              </w:rPr>
              <w:t>科</w:t>
            </w:r>
            <w:r>
              <w:t xml:space="preserve"> </w:t>
            </w:r>
            <w:r>
              <w:rPr>
                <w:rFonts w:hint="eastAsia"/>
              </w:rPr>
              <w:t>目</w:t>
            </w:r>
          </w:p>
        </w:tc>
        <w:tc>
          <w:tcPr>
            <w:tcW w:w="1633" w:type="dxa"/>
            <w:tcBorders>
              <w:top w:val="single" w:color="auto" w:sz="12" w:space="0"/>
            </w:tcBorders>
            <w:vAlign w:val="center"/>
          </w:tcPr>
          <w:p>
            <w:pPr>
              <w:jc w:val="center"/>
            </w:pPr>
            <w:r>
              <w:rPr>
                <w:rFonts w:hint="eastAsia"/>
              </w:rPr>
              <w:t>金</w:t>
            </w:r>
            <w:r>
              <w:t xml:space="preserve">  </w:t>
            </w:r>
            <w:r>
              <w:rPr>
                <w:rFonts w:hint="eastAsia"/>
              </w:rPr>
              <w:t>额</w:t>
            </w:r>
          </w:p>
          <w:p>
            <w:pPr>
              <w:jc w:val="center"/>
            </w:pPr>
            <w:r>
              <w:rPr>
                <w:rFonts w:hint="eastAsia"/>
              </w:rPr>
              <w:t>（万元）</w:t>
            </w:r>
          </w:p>
        </w:tc>
        <w:tc>
          <w:tcPr>
            <w:tcW w:w="6585" w:type="dxa"/>
            <w:tcBorders>
              <w:top w:val="single" w:color="auto" w:sz="12" w:space="0"/>
            </w:tcBorders>
            <w:vAlign w:val="center"/>
          </w:tcPr>
          <w:p>
            <w:pPr>
              <w:jc w:val="center"/>
            </w:pPr>
            <w:r>
              <w:rPr>
                <w:rFonts w:hint="eastAsia"/>
              </w:rPr>
              <w:t>计</w:t>
            </w:r>
            <w:r>
              <w:t xml:space="preserve"> </w:t>
            </w:r>
            <w:r>
              <w:rPr>
                <w:rFonts w:hint="eastAsia"/>
              </w:rPr>
              <w:t>算</w:t>
            </w:r>
            <w:r>
              <w:t xml:space="preserve"> </w:t>
            </w:r>
            <w:r>
              <w:rPr>
                <w:rFonts w:hint="eastAsia"/>
              </w:rPr>
              <w:t>根</w:t>
            </w:r>
            <w:r>
              <w:t xml:space="preserve"> </w:t>
            </w:r>
            <w:r>
              <w:rPr>
                <w:rFonts w:hint="eastAsia"/>
              </w:rPr>
              <w:t>据</w:t>
            </w:r>
            <w:r>
              <w:t xml:space="preserve"> </w:t>
            </w:r>
            <w:r>
              <w:rPr>
                <w:rFonts w:hint="eastAsia"/>
              </w:rPr>
              <w:t>及</w:t>
            </w:r>
            <w:r>
              <w:t xml:space="preserve"> </w:t>
            </w:r>
            <w:r>
              <w:rPr>
                <w:rFonts w:hint="eastAsia"/>
              </w:rPr>
              <w:t>理</w:t>
            </w:r>
            <w:r>
              <w:t xml:space="preserve"> </w:t>
            </w:r>
            <w:r>
              <w:rPr>
                <w:rFonts w:hint="eastAsia"/>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vAlign w:val="center"/>
          </w:tcPr>
          <w:p>
            <w:pPr>
              <w:jc w:val="center"/>
              <w:rPr>
                <w:rFonts w:ascii="宋体"/>
                <w:sz w:val="24"/>
                <w:szCs w:val="24"/>
              </w:rPr>
            </w:pPr>
            <w:r>
              <w:rPr>
                <w:rFonts w:hint="eastAsia" w:ascii="宋体" w:hAnsi="宋体"/>
                <w:sz w:val="24"/>
                <w:szCs w:val="24"/>
              </w:rPr>
              <w:t>合</w:t>
            </w:r>
            <w:r>
              <w:rPr>
                <w:rFonts w:ascii="宋体" w:hAnsi="宋体"/>
                <w:sz w:val="24"/>
                <w:szCs w:val="24"/>
              </w:rPr>
              <w:t xml:space="preserve">   </w:t>
            </w:r>
            <w:r>
              <w:rPr>
                <w:rFonts w:hint="eastAsia" w:ascii="宋体" w:hAnsi="宋体"/>
                <w:sz w:val="24"/>
                <w:szCs w:val="24"/>
              </w:rPr>
              <w:t>计</w:t>
            </w:r>
          </w:p>
        </w:tc>
        <w:tc>
          <w:tcPr>
            <w:tcW w:w="1633" w:type="dxa"/>
            <w:vAlign w:val="center"/>
          </w:tcPr>
          <w:p>
            <w:pPr>
              <w:spacing w:line="400" w:lineRule="exact"/>
              <w:ind w:firstLine="720" w:firstLineChars="300"/>
              <w:rPr>
                <w:rFonts w:ascii="宋体"/>
                <w:color w:val="000000"/>
                <w:sz w:val="24"/>
                <w:szCs w:val="24"/>
              </w:rPr>
            </w:pPr>
            <w:r>
              <w:rPr>
                <w:rFonts w:ascii="宋体" w:hAnsi="宋体"/>
                <w:color w:val="000000"/>
                <w:sz w:val="24"/>
                <w:szCs w:val="24"/>
              </w:rPr>
              <w:t>2</w:t>
            </w:r>
          </w:p>
        </w:tc>
        <w:tc>
          <w:tcPr>
            <w:tcW w:w="6585" w:type="dxa"/>
            <w:vAlign w:val="center"/>
          </w:tcPr>
          <w:p>
            <w:pPr>
              <w:spacing w:line="400" w:lineRule="exact"/>
              <w:rPr>
                <w:rFonts w:ascii="宋体"/>
                <w:color w:val="000000"/>
                <w:szCs w:val="21"/>
              </w:rPr>
            </w:pPr>
            <w:r>
              <w:rPr>
                <w:rFonts w:hint="eastAsia" w:ascii="宋体" w:hAnsi="宋体"/>
                <w:color w:val="000000"/>
                <w:szCs w:val="21"/>
              </w:rPr>
              <w:t>湖南省教育厅科学研究项目一般类研究经费</w:t>
            </w:r>
            <w:r>
              <w:rPr>
                <w:rFonts w:ascii="宋体" w:hAnsi="宋体"/>
                <w:color w:val="000000"/>
                <w:szCs w:val="21"/>
              </w:rPr>
              <w:t>1</w:t>
            </w:r>
            <w:r>
              <w:rPr>
                <w:rFonts w:hint="eastAsia" w:ascii="宋体" w:hAnsi="宋体"/>
                <w:color w:val="000000"/>
                <w:szCs w:val="21"/>
              </w:rPr>
              <w:t>万元，学院配套经费</w:t>
            </w:r>
            <w:r>
              <w:rPr>
                <w:rFonts w:ascii="宋体" w:hAnsi="宋体"/>
                <w:color w:val="000000"/>
                <w:szCs w:val="21"/>
              </w:rPr>
              <w:t>1</w:t>
            </w:r>
            <w:r>
              <w:rPr>
                <w:rFonts w:hint="eastAsia" w:ascii="宋体" w:hAnsi="宋体"/>
                <w:color w:val="000000"/>
                <w:szCs w:val="21"/>
              </w:rPr>
              <w:t>万，合计</w:t>
            </w:r>
            <w:r>
              <w:rPr>
                <w:rFonts w:ascii="宋体" w:hAnsi="宋体"/>
                <w:color w:val="000000"/>
                <w:szCs w:val="21"/>
              </w:rPr>
              <w:t>2</w:t>
            </w:r>
            <w:r>
              <w:rPr>
                <w:rFonts w:hint="eastAsia" w:ascii="宋体" w:hAnsi="宋体"/>
                <w:color w:val="000000"/>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vAlign w:val="center"/>
          </w:tcPr>
          <w:p>
            <w:pPr>
              <w:jc w:val="center"/>
              <w:rPr>
                <w:rFonts w:ascii="宋体"/>
                <w:sz w:val="24"/>
                <w:szCs w:val="24"/>
              </w:rPr>
            </w:pPr>
            <w:r>
              <w:rPr>
                <w:rFonts w:hint="eastAsia" w:ascii="宋体" w:hAnsi="宋体"/>
                <w:sz w:val="24"/>
                <w:szCs w:val="24"/>
              </w:rPr>
              <w:t>资料费</w:t>
            </w:r>
          </w:p>
        </w:tc>
        <w:tc>
          <w:tcPr>
            <w:tcW w:w="1633" w:type="dxa"/>
            <w:vAlign w:val="center"/>
          </w:tcPr>
          <w:p>
            <w:pPr>
              <w:spacing w:line="400" w:lineRule="exact"/>
              <w:jc w:val="center"/>
              <w:rPr>
                <w:rFonts w:ascii="宋体"/>
                <w:color w:val="000000"/>
                <w:sz w:val="24"/>
                <w:szCs w:val="24"/>
              </w:rPr>
            </w:pPr>
            <w:r>
              <w:rPr>
                <w:rFonts w:ascii="宋体" w:hAnsi="宋体"/>
                <w:color w:val="000000"/>
                <w:sz w:val="24"/>
                <w:szCs w:val="24"/>
              </w:rPr>
              <w:t>0.2</w:t>
            </w:r>
          </w:p>
        </w:tc>
        <w:tc>
          <w:tcPr>
            <w:tcW w:w="6585" w:type="dxa"/>
            <w:vAlign w:val="center"/>
          </w:tcPr>
          <w:p>
            <w:pPr>
              <w:rPr>
                <w:rFonts w:ascii="宋体"/>
                <w:color w:val="000000"/>
                <w:szCs w:val="21"/>
              </w:rPr>
            </w:pPr>
            <w:r>
              <w:rPr>
                <w:rFonts w:hint="eastAsia" w:ascii="宋体" w:hAnsi="宋体"/>
                <w:color w:val="000000"/>
                <w:szCs w:val="21"/>
              </w:rPr>
              <w:t>购买相关的文献资料费，资料打印费。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vAlign w:val="center"/>
          </w:tcPr>
          <w:p>
            <w:pPr>
              <w:jc w:val="center"/>
              <w:rPr>
                <w:rFonts w:ascii="宋体"/>
                <w:sz w:val="24"/>
                <w:szCs w:val="24"/>
              </w:rPr>
            </w:pPr>
            <w:r>
              <w:rPr>
                <w:rFonts w:hint="eastAsia" w:ascii="宋体" w:hAnsi="宋体"/>
                <w:sz w:val="24"/>
                <w:szCs w:val="24"/>
              </w:rPr>
              <w:t>调研差旅费</w:t>
            </w:r>
          </w:p>
        </w:tc>
        <w:tc>
          <w:tcPr>
            <w:tcW w:w="1633" w:type="dxa"/>
            <w:vAlign w:val="center"/>
          </w:tcPr>
          <w:p>
            <w:pPr>
              <w:spacing w:line="400" w:lineRule="exact"/>
              <w:jc w:val="center"/>
              <w:rPr>
                <w:rFonts w:ascii="宋体"/>
                <w:color w:val="000000"/>
                <w:sz w:val="24"/>
                <w:szCs w:val="24"/>
              </w:rPr>
            </w:pPr>
            <w:r>
              <w:rPr>
                <w:rFonts w:ascii="宋体" w:hAnsi="宋体"/>
                <w:color w:val="000000"/>
                <w:sz w:val="24"/>
                <w:szCs w:val="24"/>
              </w:rPr>
              <w:t>0.4</w:t>
            </w:r>
          </w:p>
        </w:tc>
        <w:tc>
          <w:tcPr>
            <w:tcW w:w="6585" w:type="dxa"/>
            <w:vAlign w:val="center"/>
          </w:tcPr>
          <w:p>
            <w:pPr>
              <w:spacing w:line="400" w:lineRule="exact"/>
              <w:rPr>
                <w:rFonts w:ascii="宋体"/>
                <w:color w:val="000000"/>
                <w:szCs w:val="21"/>
              </w:rPr>
            </w:pPr>
            <w:r>
              <w:rPr>
                <w:rFonts w:hint="eastAsia" w:ascii="宋体" w:hAnsi="宋体"/>
                <w:color w:val="000000"/>
                <w:szCs w:val="21"/>
              </w:rPr>
              <w:t>到湖南省地市、长沙市相关高职院校去调研的车费、住宿费与调研费等。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vAlign w:val="center"/>
          </w:tcPr>
          <w:p>
            <w:pPr>
              <w:jc w:val="center"/>
              <w:rPr>
                <w:rFonts w:ascii="宋体"/>
                <w:sz w:val="24"/>
                <w:szCs w:val="24"/>
              </w:rPr>
            </w:pPr>
            <w:r>
              <w:rPr>
                <w:rFonts w:hint="eastAsia" w:ascii="宋体" w:hAnsi="宋体"/>
                <w:sz w:val="24"/>
                <w:szCs w:val="24"/>
              </w:rPr>
              <w:t>小型会议费</w:t>
            </w:r>
          </w:p>
        </w:tc>
        <w:tc>
          <w:tcPr>
            <w:tcW w:w="1633" w:type="dxa"/>
            <w:vAlign w:val="center"/>
          </w:tcPr>
          <w:p>
            <w:pPr>
              <w:spacing w:line="400" w:lineRule="exact"/>
              <w:jc w:val="center"/>
              <w:rPr>
                <w:rFonts w:ascii="宋体"/>
                <w:color w:val="000000"/>
                <w:sz w:val="24"/>
                <w:szCs w:val="24"/>
              </w:rPr>
            </w:pPr>
            <w:r>
              <w:rPr>
                <w:rFonts w:ascii="宋体" w:hAnsi="宋体"/>
                <w:color w:val="000000"/>
                <w:sz w:val="24"/>
                <w:szCs w:val="24"/>
              </w:rPr>
              <w:t>0.2</w:t>
            </w:r>
          </w:p>
        </w:tc>
        <w:tc>
          <w:tcPr>
            <w:tcW w:w="6585" w:type="dxa"/>
            <w:vAlign w:val="center"/>
          </w:tcPr>
          <w:p>
            <w:pPr>
              <w:spacing w:line="400" w:lineRule="exact"/>
              <w:rPr>
                <w:rFonts w:ascii="宋体"/>
                <w:color w:val="000000"/>
                <w:szCs w:val="21"/>
              </w:rPr>
            </w:pPr>
            <w:r>
              <w:rPr>
                <w:rFonts w:hint="eastAsia" w:ascii="宋体" w:hAnsi="宋体"/>
                <w:color w:val="000000"/>
                <w:szCs w:val="21"/>
              </w:rPr>
              <w:t>召开项目组成员会议，研讨项目研究方案及讨论研究工作进展等情况。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vAlign w:val="center"/>
          </w:tcPr>
          <w:p>
            <w:pPr>
              <w:jc w:val="center"/>
              <w:rPr>
                <w:rFonts w:ascii="宋体"/>
                <w:sz w:val="24"/>
                <w:szCs w:val="24"/>
              </w:rPr>
            </w:pPr>
            <w:r>
              <w:rPr>
                <w:rFonts w:hint="eastAsia" w:ascii="宋体" w:hAnsi="宋体"/>
                <w:sz w:val="24"/>
                <w:szCs w:val="24"/>
              </w:rPr>
              <w:t>计算机及其辅助设备购置和使用费</w:t>
            </w:r>
          </w:p>
        </w:tc>
        <w:tc>
          <w:tcPr>
            <w:tcW w:w="1633" w:type="dxa"/>
            <w:vAlign w:val="center"/>
          </w:tcPr>
          <w:p>
            <w:pPr>
              <w:spacing w:line="400" w:lineRule="exact"/>
              <w:jc w:val="center"/>
              <w:rPr>
                <w:rFonts w:ascii="宋体"/>
                <w:color w:val="000000"/>
                <w:sz w:val="24"/>
                <w:szCs w:val="24"/>
              </w:rPr>
            </w:pPr>
            <w:r>
              <w:rPr>
                <w:rFonts w:ascii="宋体" w:hAnsi="宋体"/>
                <w:color w:val="000000"/>
                <w:sz w:val="24"/>
                <w:szCs w:val="24"/>
              </w:rPr>
              <w:t>0.8</w:t>
            </w:r>
          </w:p>
        </w:tc>
        <w:tc>
          <w:tcPr>
            <w:tcW w:w="6585" w:type="dxa"/>
            <w:vAlign w:val="center"/>
          </w:tcPr>
          <w:p>
            <w:pPr>
              <w:spacing w:line="400" w:lineRule="exact"/>
              <w:rPr>
                <w:rFonts w:ascii="宋体"/>
                <w:color w:val="000000"/>
                <w:szCs w:val="21"/>
              </w:rPr>
            </w:pPr>
            <w:r>
              <w:rPr>
                <w:rFonts w:hint="eastAsia" w:ascii="宋体" w:hAnsi="宋体"/>
                <w:color w:val="000000"/>
                <w:szCs w:val="21"/>
              </w:rPr>
              <w:t>购置课程实训相关软件及资料。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vAlign w:val="center"/>
          </w:tcPr>
          <w:p>
            <w:pPr>
              <w:jc w:val="center"/>
              <w:rPr>
                <w:rFonts w:ascii="宋体"/>
                <w:sz w:val="24"/>
                <w:szCs w:val="24"/>
              </w:rPr>
            </w:pPr>
            <w:r>
              <w:rPr>
                <w:rFonts w:hint="eastAsia" w:ascii="宋体" w:hAnsi="宋体"/>
                <w:sz w:val="24"/>
                <w:szCs w:val="24"/>
              </w:rPr>
              <w:t>印刷费</w:t>
            </w:r>
          </w:p>
        </w:tc>
        <w:tc>
          <w:tcPr>
            <w:tcW w:w="1633" w:type="dxa"/>
            <w:vAlign w:val="center"/>
          </w:tcPr>
          <w:p>
            <w:pPr>
              <w:spacing w:line="400" w:lineRule="exact"/>
              <w:jc w:val="center"/>
              <w:rPr>
                <w:rFonts w:ascii="宋体"/>
                <w:color w:val="000000"/>
                <w:sz w:val="24"/>
                <w:szCs w:val="24"/>
              </w:rPr>
            </w:pPr>
            <w:r>
              <w:rPr>
                <w:rFonts w:ascii="宋体" w:hAnsi="宋体"/>
                <w:color w:val="000000"/>
                <w:sz w:val="24"/>
                <w:szCs w:val="24"/>
              </w:rPr>
              <w:t>0.2</w:t>
            </w:r>
          </w:p>
        </w:tc>
        <w:tc>
          <w:tcPr>
            <w:tcW w:w="6585" w:type="dxa"/>
            <w:vAlign w:val="center"/>
          </w:tcPr>
          <w:p>
            <w:pPr>
              <w:spacing w:line="400" w:lineRule="exact"/>
              <w:rPr>
                <w:rFonts w:ascii="宋体"/>
                <w:color w:val="000000"/>
                <w:szCs w:val="21"/>
              </w:rPr>
            </w:pPr>
            <w:r>
              <w:rPr>
                <w:rFonts w:hint="eastAsia" w:ascii="宋体" w:hAnsi="宋体"/>
                <w:color w:val="000000"/>
                <w:szCs w:val="21"/>
              </w:rPr>
              <w:t>《调研报告》、《研究报告》等成果材料印刷成册的印刷费。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vAlign w:val="center"/>
          </w:tcPr>
          <w:p>
            <w:pPr>
              <w:jc w:val="center"/>
              <w:rPr>
                <w:rFonts w:ascii="宋体"/>
                <w:sz w:val="24"/>
                <w:szCs w:val="24"/>
              </w:rPr>
            </w:pPr>
            <w:r>
              <w:rPr>
                <w:rFonts w:hint="eastAsia" w:ascii="宋体" w:hAnsi="宋体"/>
                <w:sz w:val="24"/>
                <w:szCs w:val="24"/>
              </w:rPr>
              <w:t>其他</w:t>
            </w:r>
          </w:p>
        </w:tc>
        <w:tc>
          <w:tcPr>
            <w:tcW w:w="1633" w:type="dxa"/>
            <w:vAlign w:val="center"/>
          </w:tcPr>
          <w:p>
            <w:pPr>
              <w:spacing w:line="400" w:lineRule="exact"/>
              <w:jc w:val="center"/>
              <w:rPr>
                <w:rFonts w:ascii="宋体"/>
                <w:color w:val="000000"/>
                <w:sz w:val="24"/>
                <w:szCs w:val="24"/>
              </w:rPr>
            </w:pPr>
            <w:r>
              <w:rPr>
                <w:rFonts w:ascii="宋体" w:hAnsi="宋体"/>
                <w:color w:val="000000"/>
                <w:sz w:val="24"/>
                <w:szCs w:val="24"/>
              </w:rPr>
              <w:t>0.2</w:t>
            </w:r>
          </w:p>
        </w:tc>
        <w:tc>
          <w:tcPr>
            <w:tcW w:w="6585" w:type="dxa"/>
            <w:vAlign w:val="center"/>
          </w:tcPr>
          <w:p>
            <w:pPr>
              <w:spacing w:line="400" w:lineRule="exact"/>
              <w:rPr>
                <w:rFonts w:ascii="宋体"/>
                <w:color w:val="000000"/>
                <w:szCs w:val="21"/>
              </w:rPr>
            </w:pPr>
            <w:r>
              <w:rPr>
                <w:rFonts w:hint="eastAsia" w:ascii="宋体" w:hAnsi="宋体"/>
                <w:color w:val="000000"/>
                <w:szCs w:val="21"/>
              </w:rPr>
              <w:t>聘请专家指导费，中期检查及结题费等。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Pr>
          <w:p>
            <w:pPr>
              <w:jc w:val="center"/>
              <w:rPr>
                <w:rFonts w:eastAsia="楷体_GB2312"/>
              </w:rPr>
            </w:pPr>
          </w:p>
        </w:tc>
        <w:tc>
          <w:tcPr>
            <w:tcW w:w="1633" w:type="dxa"/>
          </w:tcPr>
          <w:p>
            <w:pPr>
              <w:jc w:val="center"/>
              <w:rPr>
                <w:rFonts w:eastAsia="楷体_GB2312"/>
              </w:rPr>
            </w:pPr>
          </w:p>
        </w:tc>
        <w:tc>
          <w:tcPr>
            <w:tcW w:w="6585" w:type="dxa"/>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Pr>
          <w:p>
            <w:pPr>
              <w:jc w:val="center"/>
              <w:rPr>
                <w:rFonts w:eastAsia="楷体_GB2312"/>
              </w:rPr>
            </w:pPr>
          </w:p>
        </w:tc>
        <w:tc>
          <w:tcPr>
            <w:tcW w:w="1633" w:type="dxa"/>
          </w:tcPr>
          <w:p>
            <w:pPr>
              <w:jc w:val="center"/>
              <w:rPr>
                <w:rFonts w:eastAsia="楷体_GB2312"/>
              </w:rPr>
            </w:pPr>
          </w:p>
        </w:tc>
        <w:tc>
          <w:tcPr>
            <w:tcW w:w="6585" w:type="dxa"/>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Pr>
          <w:p>
            <w:pPr>
              <w:jc w:val="center"/>
              <w:rPr>
                <w:rFonts w:eastAsia="楷体_GB2312"/>
              </w:rPr>
            </w:pPr>
          </w:p>
        </w:tc>
        <w:tc>
          <w:tcPr>
            <w:tcW w:w="1633" w:type="dxa"/>
          </w:tcPr>
          <w:p>
            <w:pPr>
              <w:jc w:val="center"/>
              <w:rPr>
                <w:rFonts w:eastAsia="楷体_GB2312"/>
              </w:rPr>
            </w:pPr>
          </w:p>
        </w:tc>
        <w:tc>
          <w:tcPr>
            <w:tcW w:w="6585" w:type="dxa"/>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Pr>
          <w:p>
            <w:pPr>
              <w:jc w:val="center"/>
              <w:rPr>
                <w:rFonts w:eastAsia="楷体_GB2312"/>
              </w:rPr>
            </w:pPr>
          </w:p>
        </w:tc>
        <w:tc>
          <w:tcPr>
            <w:tcW w:w="1633" w:type="dxa"/>
          </w:tcPr>
          <w:p>
            <w:pPr>
              <w:jc w:val="center"/>
              <w:rPr>
                <w:rFonts w:eastAsia="楷体_GB2312"/>
              </w:rPr>
            </w:pPr>
          </w:p>
        </w:tc>
        <w:tc>
          <w:tcPr>
            <w:tcW w:w="6585" w:type="dxa"/>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Pr>
          <w:p>
            <w:pPr>
              <w:jc w:val="center"/>
            </w:pPr>
          </w:p>
        </w:tc>
        <w:tc>
          <w:tcPr>
            <w:tcW w:w="1633" w:type="dxa"/>
          </w:tcPr>
          <w:p>
            <w:pPr>
              <w:jc w:val="center"/>
            </w:pPr>
          </w:p>
        </w:tc>
        <w:tc>
          <w:tcPr>
            <w:tcW w:w="6585"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Pr>
          <w:p>
            <w:pPr>
              <w:jc w:val="center"/>
            </w:pPr>
          </w:p>
        </w:tc>
        <w:tc>
          <w:tcPr>
            <w:tcW w:w="1633" w:type="dxa"/>
          </w:tcPr>
          <w:p>
            <w:pPr>
              <w:jc w:val="center"/>
            </w:pPr>
          </w:p>
        </w:tc>
        <w:tc>
          <w:tcPr>
            <w:tcW w:w="6585"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Pr>
          <w:p>
            <w:pPr>
              <w:jc w:val="center"/>
            </w:pPr>
          </w:p>
        </w:tc>
        <w:tc>
          <w:tcPr>
            <w:tcW w:w="1633" w:type="dxa"/>
          </w:tcPr>
          <w:p>
            <w:pPr>
              <w:jc w:val="center"/>
            </w:pPr>
          </w:p>
        </w:tc>
        <w:tc>
          <w:tcPr>
            <w:tcW w:w="6585"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bottom w:val="single" w:color="auto" w:sz="12" w:space="0"/>
            </w:tcBorders>
          </w:tcPr>
          <w:p>
            <w:pPr>
              <w:jc w:val="center"/>
            </w:pPr>
          </w:p>
        </w:tc>
        <w:tc>
          <w:tcPr>
            <w:tcW w:w="1633" w:type="dxa"/>
            <w:tcBorders>
              <w:bottom w:val="single" w:color="auto" w:sz="12" w:space="0"/>
            </w:tcBorders>
          </w:tcPr>
          <w:p>
            <w:pPr>
              <w:jc w:val="center"/>
            </w:pPr>
          </w:p>
        </w:tc>
        <w:tc>
          <w:tcPr>
            <w:tcW w:w="6585" w:type="dxa"/>
            <w:tcBorders>
              <w:bottom w:val="single" w:color="auto" w:sz="12" w:space="0"/>
            </w:tcBorders>
          </w:tcPr>
          <w:p>
            <w:pPr>
              <w:jc w:val="center"/>
            </w:pPr>
          </w:p>
        </w:tc>
      </w:tr>
    </w:tbl>
    <w:p>
      <w:pPr>
        <w:spacing w:before="120" w:line="280" w:lineRule="exact"/>
        <w:rPr>
          <w:sz w:val="18"/>
          <w:szCs w:val="18"/>
        </w:rPr>
      </w:pPr>
      <w:r>
        <w:rPr>
          <w:rFonts w:hint="eastAsia"/>
          <w:sz w:val="18"/>
          <w:szCs w:val="18"/>
        </w:rPr>
        <w:t>注</w:t>
      </w:r>
      <w:r>
        <w:rPr>
          <w:sz w:val="18"/>
          <w:szCs w:val="18"/>
        </w:rPr>
        <w:t xml:space="preserve">: </w:t>
      </w:r>
      <w:r>
        <w:rPr>
          <w:rFonts w:hint="eastAsia"/>
          <w:sz w:val="18"/>
          <w:szCs w:val="18"/>
        </w:rPr>
        <w:t>预算支出科目按下列顺序填写</w:t>
      </w:r>
      <w:r>
        <w:rPr>
          <w:sz w:val="18"/>
          <w:szCs w:val="18"/>
        </w:rPr>
        <w:t xml:space="preserve">: 1. </w:t>
      </w:r>
      <w:r>
        <w:rPr>
          <w:rFonts w:hint="eastAsia"/>
          <w:sz w:val="18"/>
          <w:szCs w:val="18"/>
        </w:rPr>
        <w:t>科研业务费</w:t>
      </w:r>
      <w:r>
        <w:rPr>
          <w:sz w:val="18"/>
          <w:szCs w:val="18"/>
        </w:rPr>
        <w:t xml:space="preserve">  2. </w:t>
      </w:r>
      <w:r>
        <w:rPr>
          <w:rFonts w:hint="eastAsia"/>
          <w:sz w:val="18"/>
          <w:szCs w:val="18"/>
        </w:rPr>
        <w:t>实验材料费</w:t>
      </w:r>
      <w:r>
        <w:rPr>
          <w:sz w:val="18"/>
          <w:szCs w:val="18"/>
        </w:rPr>
        <w:t xml:space="preserve">  3. </w:t>
      </w:r>
      <w:r>
        <w:rPr>
          <w:rFonts w:hint="eastAsia"/>
          <w:sz w:val="18"/>
          <w:szCs w:val="18"/>
        </w:rPr>
        <w:t>仪器设备费</w:t>
      </w:r>
      <w:r>
        <w:rPr>
          <w:sz w:val="18"/>
          <w:szCs w:val="18"/>
        </w:rPr>
        <w:t xml:space="preserve">  4.</w:t>
      </w:r>
      <w:r>
        <w:rPr>
          <w:rFonts w:hint="eastAsia"/>
          <w:sz w:val="18"/>
          <w:szCs w:val="18"/>
        </w:rPr>
        <w:t>相关经费。开支范围详见《湖南省教育厅科学研究项目管理办法》（</w:t>
      </w:r>
      <w:r>
        <w:rPr>
          <w:sz w:val="18"/>
          <w:szCs w:val="18"/>
        </w:rPr>
        <w:t>2010</w:t>
      </w:r>
      <w:r>
        <w:rPr>
          <w:rFonts w:hint="eastAsia"/>
          <w:sz w:val="18"/>
          <w:szCs w:val="18"/>
        </w:rPr>
        <w:t>年第</w:t>
      </w:r>
      <w:r>
        <w:rPr>
          <w:sz w:val="18"/>
          <w:szCs w:val="18"/>
        </w:rPr>
        <w:t>2</w:t>
      </w:r>
      <w:r>
        <w:rPr>
          <w:rFonts w:hint="eastAsia"/>
          <w:sz w:val="18"/>
          <w:szCs w:val="18"/>
        </w:rPr>
        <w:t>次修订）。</w:t>
      </w:r>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95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6" w:hRule="atLeast"/>
        </w:trPr>
        <w:tc>
          <w:tcPr>
            <w:tcW w:w="735" w:type="dxa"/>
            <w:tcBorders>
              <w:top w:val="single" w:color="auto" w:sz="12" w:space="0"/>
            </w:tcBorders>
            <w:vAlign w:val="center"/>
          </w:tcPr>
          <w:p>
            <w:pPr>
              <w:autoSpaceDE w:val="0"/>
              <w:autoSpaceDN w:val="0"/>
              <w:adjustRightInd w:val="0"/>
              <w:spacing w:line="500" w:lineRule="exact"/>
              <w:jc w:val="center"/>
              <w:rPr>
                <w:rFonts w:ascii="宋体"/>
              </w:rPr>
            </w:pPr>
            <w:r>
              <w:rPr>
                <w:rFonts w:hint="eastAsia" w:ascii="宋体"/>
              </w:rPr>
              <w:t>学校科研管理部门审查以及经费配套意见</w:t>
            </w:r>
          </w:p>
        </w:tc>
        <w:tc>
          <w:tcPr>
            <w:tcW w:w="9525" w:type="dxa"/>
            <w:tcBorders>
              <w:top w:val="single" w:color="auto" w:sz="12" w:space="0"/>
            </w:tcBorders>
          </w:tcPr>
          <w:p>
            <w:pPr>
              <w:spacing w:line="480" w:lineRule="auto"/>
              <w:ind w:firstLine="480" w:firstLineChars="200"/>
              <w:jc w:val="left"/>
              <w:rPr>
                <w:rFonts w:hAnsi="宋体"/>
                <w:sz w:val="24"/>
                <w:szCs w:val="24"/>
              </w:rPr>
            </w:pPr>
          </w:p>
          <w:p>
            <w:pPr>
              <w:spacing w:line="360" w:lineRule="auto"/>
              <w:ind w:firstLine="482"/>
              <w:rPr>
                <w:rFonts w:ascii="宋体"/>
                <w:sz w:val="24"/>
                <w:szCs w:val="24"/>
              </w:rPr>
            </w:pPr>
            <w:r>
              <w:rPr>
                <w:rFonts w:ascii="宋体" w:hAnsi="宋体"/>
                <w:sz w:val="24"/>
                <w:szCs w:val="24"/>
              </w:rPr>
              <w:t>1</w:t>
            </w:r>
            <w:r>
              <w:rPr>
                <w:rFonts w:hint="eastAsia" w:ascii="宋体" w:hAnsi="宋体"/>
                <w:sz w:val="24"/>
                <w:szCs w:val="24"/>
              </w:rPr>
              <w:t>、申请书所填写的内容属实。</w:t>
            </w:r>
          </w:p>
          <w:p>
            <w:pPr>
              <w:spacing w:line="360" w:lineRule="auto"/>
              <w:ind w:firstLine="482"/>
              <w:rPr>
                <w:rFonts w:ascii="宋体"/>
                <w:sz w:val="24"/>
                <w:szCs w:val="24"/>
              </w:rPr>
            </w:pPr>
            <w:r>
              <w:rPr>
                <w:rFonts w:ascii="宋体" w:hAnsi="宋体"/>
                <w:sz w:val="24"/>
                <w:szCs w:val="24"/>
              </w:rPr>
              <w:t>2</w:t>
            </w:r>
            <w:r>
              <w:rPr>
                <w:rFonts w:hint="eastAsia" w:ascii="宋体" w:hAnsi="宋体"/>
                <w:sz w:val="24"/>
                <w:szCs w:val="24"/>
              </w:rPr>
              <w:t>、该项目负责人和参加者的政治业务素质和科研能力适合承担本项目的研究工作。</w:t>
            </w:r>
          </w:p>
          <w:p>
            <w:pPr>
              <w:spacing w:line="360" w:lineRule="auto"/>
              <w:ind w:firstLine="480" w:firstLineChars="200"/>
              <w:jc w:val="left"/>
              <w:rPr>
                <w:rFonts w:hAnsi="宋体"/>
                <w:sz w:val="24"/>
                <w:szCs w:val="24"/>
              </w:rPr>
            </w:pPr>
            <w:r>
              <w:rPr>
                <w:rFonts w:ascii="宋体" w:hAnsi="宋体"/>
                <w:sz w:val="24"/>
                <w:szCs w:val="24"/>
              </w:rPr>
              <w:t>3</w:t>
            </w:r>
            <w:r>
              <w:rPr>
                <w:rFonts w:hint="eastAsia" w:ascii="宋体" w:hAnsi="宋体"/>
                <w:sz w:val="24"/>
                <w:szCs w:val="24"/>
              </w:rPr>
              <w:t>、本单位能</w:t>
            </w:r>
            <w:r>
              <w:rPr>
                <w:rFonts w:hint="eastAsia" w:ascii="宋体" w:hAnsi="宋体"/>
                <w:color w:val="000000"/>
                <w:sz w:val="24"/>
                <w:szCs w:val="24"/>
              </w:rPr>
              <w:t>按与省教育厅拨款不低于</w:t>
            </w:r>
            <w:r>
              <w:rPr>
                <w:rFonts w:ascii="宋体" w:hAnsi="宋体"/>
                <w:color w:val="000000"/>
                <w:sz w:val="24"/>
                <w:szCs w:val="24"/>
              </w:rPr>
              <w:t>1</w:t>
            </w: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的比例提供项目配套经费，</w:t>
            </w:r>
            <w:r>
              <w:rPr>
                <w:rFonts w:hint="eastAsia" w:ascii="宋体" w:hAnsi="宋体"/>
                <w:sz w:val="24"/>
                <w:szCs w:val="24"/>
              </w:rPr>
              <w:t>并提供完成本项目所需的时间和条件。</w:t>
            </w:r>
          </w:p>
          <w:p>
            <w:pPr>
              <w:spacing w:line="480" w:lineRule="auto"/>
              <w:ind w:firstLine="480" w:firstLineChars="200"/>
              <w:jc w:val="left"/>
              <w:rPr>
                <w:rFonts w:hAnsi="宋体"/>
                <w:sz w:val="24"/>
                <w:szCs w:val="24"/>
              </w:rPr>
            </w:pPr>
          </w:p>
          <w:p>
            <w:pPr>
              <w:autoSpaceDE w:val="0"/>
              <w:autoSpaceDN w:val="0"/>
              <w:adjustRightInd w:val="0"/>
              <w:spacing w:line="500" w:lineRule="exact"/>
              <w:rPr>
                <w:rFonts w:ascii="宋体"/>
              </w:rPr>
            </w:pPr>
            <w:r>
              <w:rPr>
                <w:rFonts w:ascii="宋体"/>
                <w:sz w:val="28"/>
                <w:szCs w:val="28"/>
              </w:rPr>
              <w:t xml:space="preserve">                                   </w:t>
            </w:r>
          </w:p>
          <w:p>
            <w:pPr>
              <w:autoSpaceDE w:val="0"/>
              <w:autoSpaceDN w:val="0"/>
              <w:adjustRightInd w:val="0"/>
              <w:spacing w:line="500" w:lineRule="exact"/>
              <w:rPr>
                <w:rFonts w:ascii="宋体"/>
              </w:rPr>
            </w:pPr>
            <w:r>
              <w:rPr>
                <w:rFonts w:ascii="宋体"/>
              </w:rPr>
              <w:t xml:space="preserve">                                                </w:t>
            </w:r>
            <w:r>
              <w:rPr>
                <w:rFonts w:hint="eastAsia" w:ascii="宋体"/>
              </w:rPr>
              <w:t>（公章）</w:t>
            </w:r>
          </w:p>
          <w:p>
            <w:pPr>
              <w:autoSpaceDE w:val="0"/>
              <w:autoSpaceDN w:val="0"/>
              <w:adjustRightInd w:val="0"/>
              <w:spacing w:line="500" w:lineRule="exact"/>
              <w:rPr>
                <w:rFonts w:ascii="宋体"/>
                <w:sz w:val="28"/>
                <w:szCs w:val="28"/>
              </w:rPr>
            </w:pPr>
            <w:r>
              <w:rPr>
                <w:rFonts w:ascii="宋体"/>
              </w:rPr>
              <w:t xml:space="preserve">                                </w:t>
            </w:r>
            <w:r>
              <w:rPr>
                <w:rFonts w:hint="eastAsia" w:ascii="宋体"/>
              </w:rPr>
              <w:t>负责人：</w:t>
            </w:r>
            <w:r>
              <w:rPr>
                <w:rFonts w:ascii="宋体"/>
              </w:rPr>
              <w:t xml:space="preserve">                       </w:t>
            </w: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0" w:hRule="atLeast"/>
        </w:trPr>
        <w:tc>
          <w:tcPr>
            <w:tcW w:w="735" w:type="dxa"/>
            <w:vAlign w:val="center"/>
          </w:tcPr>
          <w:p>
            <w:pPr>
              <w:autoSpaceDE w:val="0"/>
              <w:autoSpaceDN w:val="0"/>
              <w:adjustRightInd w:val="0"/>
              <w:spacing w:line="500" w:lineRule="exact"/>
              <w:ind w:right="-31"/>
              <w:jc w:val="center"/>
              <w:rPr>
                <w:rFonts w:ascii="宋体"/>
              </w:rPr>
            </w:pPr>
            <w:r>
              <w:rPr>
                <w:rFonts w:hint="eastAsia" w:ascii="宋体"/>
              </w:rPr>
              <w:t>合作单位意见</w:t>
            </w:r>
          </w:p>
        </w:tc>
        <w:tc>
          <w:tcPr>
            <w:tcW w:w="9525" w:type="dxa"/>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tabs>
                <w:tab w:val="left" w:pos="3016"/>
              </w:tabs>
              <w:autoSpaceDE w:val="0"/>
              <w:autoSpaceDN w:val="0"/>
              <w:adjustRightInd w:val="0"/>
              <w:spacing w:line="500" w:lineRule="exact"/>
              <w:rPr>
                <w:rFonts w:ascii="宋体"/>
                <w:sz w:val="28"/>
                <w:szCs w:val="28"/>
              </w:rPr>
            </w:pPr>
            <w:r>
              <w:rPr>
                <w:rFonts w:ascii="宋体"/>
                <w:sz w:val="28"/>
                <w:szCs w:val="28"/>
              </w:rPr>
              <w:tab/>
            </w:r>
          </w:p>
          <w:p>
            <w:pPr>
              <w:autoSpaceDE w:val="0"/>
              <w:autoSpaceDN w:val="0"/>
              <w:adjustRightInd w:val="0"/>
              <w:spacing w:line="500" w:lineRule="exact"/>
              <w:rPr>
                <w:rFonts w:ascii="宋体"/>
                <w:sz w:val="28"/>
                <w:szCs w:val="28"/>
              </w:rPr>
            </w:pPr>
            <w:r>
              <w:rPr>
                <w:rFonts w:ascii="宋体"/>
                <w:sz w:val="28"/>
                <w:szCs w:val="28"/>
              </w:rPr>
              <w:t xml:space="preserve">                                     </w:t>
            </w:r>
          </w:p>
          <w:p>
            <w:pPr>
              <w:autoSpaceDE w:val="0"/>
              <w:autoSpaceDN w:val="0"/>
              <w:adjustRightInd w:val="0"/>
              <w:spacing w:line="500" w:lineRule="exact"/>
              <w:rPr>
                <w:rFonts w:ascii="宋体"/>
              </w:rPr>
            </w:pPr>
            <w:r>
              <w:rPr>
                <w:rFonts w:ascii="宋体"/>
              </w:rPr>
              <w:t xml:space="preserve">                                                </w:t>
            </w:r>
            <w:r>
              <w:rPr>
                <w:rFonts w:hint="eastAsia" w:ascii="宋体"/>
              </w:rPr>
              <w:t>（公章）</w:t>
            </w:r>
          </w:p>
          <w:p>
            <w:pPr>
              <w:autoSpaceDE w:val="0"/>
              <w:autoSpaceDN w:val="0"/>
              <w:adjustRightInd w:val="0"/>
              <w:spacing w:line="500" w:lineRule="exact"/>
              <w:rPr>
                <w:rFonts w:ascii="宋体"/>
              </w:rPr>
            </w:pPr>
            <w:r>
              <w:rPr>
                <w:rFonts w:ascii="宋体"/>
              </w:rPr>
              <w:t xml:space="preserve">                                </w:t>
            </w:r>
            <w:r>
              <w:rPr>
                <w:rFonts w:hint="eastAsia" w:ascii="宋体"/>
              </w:rPr>
              <w:t>负责人：</w:t>
            </w:r>
            <w:r>
              <w:rPr>
                <w:rFonts w:ascii="宋体"/>
              </w:rPr>
              <w:t xml:space="preserve">                       </w:t>
            </w: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4" w:hRule="atLeast"/>
        </w:trPr>
        <w:tc>
          <w:tcPr>
            <w:tcW w:w="735" w:type="dxa"/>
            <w:tcBorders>
              <w:bottom w:val="single" w:color="auto" w:sz="12" w:space="0"/>
            </w:tcBorders>
            <w:vAlign w:val="center"/>
          </w:tcPr>
          <w:p>
            <w:pPr>
              <w:autoSpaceDE w:val="0"/>
              <w:autoSpaceDN w:val="0"/>
              <w:adjustRightInd w:val="0"/>
              <w:spacing w:line="500" w:lineRule="exact"/>
              <w:ind w:right="-38"/>
              <w:jc w:val="center"/>
              <w:rPr>
                <w:rFonts w:ascii="宋体"/>
              </w:rPr>
            </w:pPr>
            <w:r>
              <w:rPr>
                <w:rFonts w:hint="eastAsia" w:ascii="宋体"/>
              </w:rPr>
              <w:t>省教育厅审定意见</w:t>
            </w:r>
          </w:p>
        </w:tc>
        <w:tc>
          <w:tcPr>
            <w:tcW w:w="9525" w:type="dxa"/>
            <w:tcBorders>
              <w:bottom w:val="single" w:color="auto" w:sz="12"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ind w:left="-318" w:hanging="630"/>
              <w:rPr>
                <w:rFonts w:ascii="宋体"/>
                <w:sz w:val="28"/>
                <w:szCs w:val="28"/>
              </w:rPr>
            </w:pPr>
            <w:r>
              <w:rPr>
                <w:rFonts w:ascii="宋体"/>
                <w:sz w:val="28"/>
                <w:szCs w:val="28"/>
              </w:rPr>
              <w:t xml:space="preserve">                        </w:t>
            </w:r>
          </w:p>
          <w:p>
            <w:pPr>
              <w:autoSpaceDE w:val="0"/>
              <w:autoSpaceDN w:val="0"/>
              <w:adjustRightInd w:val="0"/>
              <w:spacing w:line="500" w:lineRule="exact"/>
              <w:ind w:left="-318" w:hanging="630"/>
              <w:rPr>
                <w:rFonts w:ascii="宋体"/>
                <w:sz w:val="28"/>
                <w:szCs w:val="28"/>
              </w:rPr>
            </w:pPr>
          </w:p>
          <w:p>
            <w:pPr>
              <w:autoSpaceDE w:val="0"/>
              <w:autoSpaceDN w:val="0"/>
              <w:adjustRightInd w:val="0"/>
              <w:spacing w:line="500" w:lineRule="exact"/>
              <w:rPr>
                <w:rFonts w:ascii="宋体"/>
              </w:rPr>
            </w:pPr>
            <w:r>
              <w:rPr>
                <w:rFonts w:ascii="宋体"/>
                <w:sz w:val="28"/>
                <w:szCs w:val="28"/>
              </w:rPr>
              <w:t xml:space="preserve">                      </w:t>
            </w:r>
            <w:r>
              <w:rPr>
                <w:rFonts w:ascii="宋体"/>
              </w:rPr>
              <w:t xml:space="preserve">     </w:t>
            </w:r>
            <w:r>
              <w:rPr>
                <w:rFonts w:hint="eastAsia" w:ascii="宋体"/>
              </w:rPr>
              <w:t>负责人：</w:t>
            </w:r>
            <w:r>
              <w:rPr>
                <w:rFonts w:ascii="宋体"/>
              </w:rPr>
              <w:t xml:space="preserve">                      </w:t>
            </w: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cs="宋体"/>
        <w:b/>
        <w:bCs/>
        <w:sz w:val="24"/>
        <w:szCs w:val="24"/>
      </w:rPr>
    </w:pPr>
    <w:r>
      <w:rPr>
        <w:rStyle w:val="8"/>
        <w:rFonts w:cs="宋体"/>
        <w:b/>
        <w:bCs/>
        <w:sz w:val="24"/>
        <w:szCs w:val="24"/>
      </w:rPr>
      <w:fldChar w:fldCharType="begin"/>
    </w:r>
    <w:r>
      <w:rPr>
        <w:rStyle w:val="8"/>
        <w:rFonts w:cs="宋体"/>
        <w:b/>
        <w:bCs/>
        <w:sz w:val="24"/>
        <w:szCs w:val="24"/>
      </w:rPr>
      <w:instrText xml:space="preserve">PAGE  </w:instrText>
    </w:r>
    <w:r>
      <w:rPr>
        <w:rStyle w:val="8"/>
        <w:rFonts w:cs="宋体"/>
        <w:b/>
        <w:bCs/>
        <w:sz w:val="24"/>
        <w:szCs w:val="24"/>
      </w:rPr>
      <w:fldChar w:fldCharType="separate"/>
    </w:r>
    <w:r>
      <w:rPr>
        <w:rStyle w:val="8"/>
        <w:rFonts w:cs="宋体"/>
        <w:b/>
        <w:bCs/>
        <w:sz w:val="24"/>
        <w:szCs w:val="24"/>
      </w:rPr>
      <w:t>12</w:t>
    </w:r>
    <w:r>
      <w:rPr>
        <w:rStyle w:val="8"/>
        <w:rFonts w:cs="宋体"/>
        <w:b/>
        <w:bCs/>
        <w:sz w:val="24"/>
        <w:szCs w:val="24"/>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C0"/>
    <w:rsid w:val="000005B6"/>
    <w:rsid w:val="000D01ED"/>
    <w:rsid w:val="002852C6"/>
    <w:rsid w:val="002C57D7"/>
    <w:rsid w:val="003A1AC0"/>
    <w:rsid w:val="003C2898"/>
    <w:rsid w:val="003C7F93"/>
    <w:rsid w:val="004F406B"/>
    <w:rsid w:val="004F4C92"/>
    <w:rsid w:val="005A71B7"/>
    <w:rsid w:val="006137FD"/>
    <w:rsid w:val="00644724"/>
    <w:rsid w:val="006B499A"/>
    <w:rsid w:val="006B6AF9"/>
    <w:rsid w:val="006F17FF"/>
    <w:rsid w:val="00733834"/>
    <w:rsid w:val="00775C2A"/>
    <w:rsid w:val="007B46AD"/>
    <w:rsid w:val="007D05B7"/>
    <w:rsid w:val="008E4C63"/>
    <w:rsid w:val="009642DC"/>
    <w:rsid w:val="009942DE"/>
    <w:rsid w:val="00A41D65"/>
    <w:rsid w:val="00A9649E"/>
    <w:rsid w:val="00B439F6"/>
    <w:rsid w:val="00C46DC2"/>
    <w:rsid w:val="00CC312E"/>
    <w:rsid w:val="00CD5038"/>
    <w:rsid w:val="00CE789E"/>
    <w:rsid w:val="00D176D1"/>
    <w:rsid w:val="00D85CEA"/>
    <w:rsid w:val="00EB3AB1"/>
    <w:rsid w:val="00F33F9B"/>
    <w:rsid w:val="5D7362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rFonts w:ascii="Times New Roman" w:hAnsi="Times New Roman" w:cs="Times New Roman"/>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kern w:val="0"/>
      <w:sz w:val="24"/>
      <w:szCs w:val="24"/>
    </w:rPr>
  </w:style>
  <w:style w:type="character" w:styleId="8">
    <w:name w:val="page number"/>
    <w:basedOn w:val="7"/>
    <w:uiPriority w:val="99"/>
    <w:rPr>
      <w:rFonts w:cs="Times New Roman"/>
    </w:rPr>
  </w:style>
  <w:style w:type="character" w:styleId="9">
    <w:name w:val="Emphasis"/>
    <w:basedOn w:val="7"/>
    <w:qFormat/>
    <w:uiPriority w:val="99"/>
    <w:rPr>
      <w:rFonts w:ascii="Times New Roman" w:hAnsi="Times New Roman" w:eastAsia="宋体" w:cs="Times New Roman"/>
      <w:i/>
    </w:rPr>
  </w:style>
  <w:style w:type="character" w:customStyle="1" w:styleId="10">
    <w:name w:val="标题 1 Char"/>
    <w:basedOn w:val="7"/>
    <w:link w:val="2"/>
    <w:locked/>
    <w:uiPriority w:val="99"/>
    <w:rPr>
      <w:rFonts w:ascii="Times New Roman" w:hAnsi="Times New Roman" w:eastAsia="宋体" w:cs="Times New Roman"/>
      <w:b/>
      <w:bCs/>
      <w:kern w:val="44"/>
      <w:sz w:val="44"/>
      <w:szCs w:val="44"/>
    </w:rPr>
  </w:style>
  <w:style w:type="character" w:customStyle="1" w:styleId="11">
    <w:name w:val="页脚 Char"/>
    <w:basedOn w:val="7"/>
    <w:link w:val="3"/>
    <w:locked/>
    <w:uiPriority w:val="99"/>
    <w:rPr>
      <w:rFonts w:cs="Times New Roman"/>
      <w:sz w:val="18"/>
      <w:szCs w:val="18"/>
    </w:rPr>
  </w:style>
  <w:style w:type="character" w:customStyle="1" w:styleId="12">
    <w:name w:val="页眉 Char"/>
    <w:basedOn w:val="7"/>
    <w:link w:val="4"/>
    <w:locked/>
    <w:uiPriority w:val="99"/>
    <w:rPr>
      <w:rFonts w:cs="Times New Roman"/>
      <w:sz w:val="18"/>
      <w:szCs w:val="18"/>
    </w:rPr>
  </w:style>
  <w:style w:type="character" w:customStyle="1" w:styleId="13">
    <w:name w:val="正文文本 (2)_"/>
    <w:link w:val="14"/>
    <w:locked/>
    <w:uiPriority w:val="99"/>
    <w:rPr>
      <w:rFonts w:ascii="MingLiU" w:hAnsi="MingLiU" w:eastAsia="MingLiU"/>
      <w:kern w:val="0"/>
      <w:sz w:val="20"/>
    </w:rPr>
  </w:style>
  <w:style w:type="paragraph" w:customStyle="1" w:styleId="14">
    <w:name w:val="正文文本 (2)"/>
    <w:basedOn w:val="1"/>
    <w:link w:val="13"/>
    <w:uiPriority w:val="99"/>
    <w:pPr>
      <w:shd w:val="clear" w:color="auto" w:fill="FFFFFF"/>
      <w:spacing w:before="600" w:line="374" w:lineRule="exact"/>
      <w:jc w:val="distribute"/>
    </w:pPr>
    <w:rPr>
      <w:rFonts w:ascii="MingLiU" w:hAnsi="MingLiU" w:eastAsia="MingLiU" w:cs="Times New Roman"/>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7410</Words>
  <Characters>1344</Characters>
  <Lines>11</Lines>
  <Paragraphs>17</Paragraphs>
  <TotalTime>8</TotalTime>
  <ScaleCrop>false</ScaleCrop>
  <LinksUpToDate>false</LinksUpToDate>
  <CharactersWithSpaces>8737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2020-09-03T15:50:00Z</dcterms:created>
  <dc:creator>admin</dc:creator>
  <cp:lastModifiedBy></cp:lastModifiedBy>
  <dcterms:modified xsi:type="dcterms:W3CDTF">2020-09-04T07:36:26Z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